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style1.xml" ContentType="application/vnd.ms-office.chartstyle+xml"/>
  <Override PartName="/word/charts/chart1.xml" ContentType="application/vnd.openxmlformats-officedocument.drawingml.chart+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mbeddings/Microsoft_Excel_Worksheet1.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3A7405" w:rsidRPr="0080607B" w:rsidP="003A7405">
      <w:pPr>
        <w:spacing w:after="0"/>
        <w:rPr>
          <w:rFonts w:cs="Arial"/>
        </w:rPr>
      </w:pPr>
      <w:bookmarkStart w:id="0" w:name="_GoBack"/>
      <w:bookmarkEnd w:id="0"/>
    </w:p>
    <w:p w:rsidR="003A7405" w:rsidRPr="0080607B" w:rsidP="003A7405">
      <w:pPr>
        <w:spacing w:after="0"/>
        <w:rPr>
          <w:rFonts w:cs="Arial"/>
        </w:rPr>
      </w:pPr>
    </w:p>
    <w:p w:rsidR="003A7405" w:rsidRPr="0080607B" w:rsidP="003A7405">
      <w:pPr>
        <w:pStyle w:val="ToFrom"/>
        <w:spacing w:after="0" w:line="259" w:lineRule="auto"/>
        <w:contextualSpacing w:val="0"/>
        <w:jc w:val="center"/>
        <w:rPr>
          <w:rFonts w:ascii="Arial" w:hAnsi="Arial" w:cs="Arial"/>
          <w:sz w:val="22"/>
        </w:rPr>
      </w:pPr>
    </w:p>
    <w:p w:rsidR="003A7405" w:rsidP="003A7405">
      <w:pPr>
        <w:spacing w:after="0"/>
        <w:jc w:val="center"/>
        <w:rPr>
          <w:rFonts w:cs="Arial"/>
          <w:b/>
          <w:sz w:val="36"/>
        </w:rPr>
      </w:pPr>
      <w:r w:rsidRPr="0080607B">
        <w:rPr>
          <w:rFonts w:cs="Arial"/>
          <w:b/>
          <w:sz w:val="36"/>
        </w:rPr>
        <w:t xml:space="preserve">Prairie Island Net Zero Project </w:t>
      </w:r>
    </w:p>
    <w:p w:rsidR="003A7405" w:rsidRPr="0080607B" w:rsidP="003A7405">
      <w:pPr>
        <w:spacing w:after="0"/>
        <w:jc w:val="center"/>
        <w:rPr>
          <w:rFonts w:cs="Arial"/>
          <w:b/>
          <w:sz w:val="36"/>
        </w:rPr>
      </w:pPr>
      <w:r>
        <w:rPr>
          <w:rFonts w:cs="Arial"/>
          <w:b/>
          <w:sz w:val="36"/>
        </w:rPr>
        <w:t xml:space="preserve">Certified </w:t>
      </w:r>
      <w:r w:rsidR="00D46EC2">
        <w:rPr>
          <w:rFonts w:cs="Arial"/>
          <w:b/>
          <w:sz w:val="36"/>
        </w:rPr>
        <w:t xml:space="preserve">Total </w:t>
      </w:r>
      <w:r>
        <w:rPr>
          <w:rFonts w:cs="Arial"/>
          <w:b/>
          <w:sz w:val="36"/>
        </w:rPr>
        <w:t>Cost</w:t>
      </w:r>
    </w:p>
    <w:p w:rsidR="003A7405" w:rsidRPr="0080607B" w:rsidP="003A7405">
      <w:pPr>
        <w:spacing w:after="0"/>
        <w:jc w:val="center"/>
        <w:rPr>
          <w:rFonts w:cs="Arial"/>
          <w:b/>
        </w:rPr>
      </w:pPr>
    </w:p>
    <w:p w:rsidR="003A7405" w:rsidRPr="0080607B" w:rsidP="003A7405">
      <w:pPr>
        <w:spacing w:after="0"/>
        <w:jc w:val="center"/>
        <w:rPr>
          <w:rFonts w:cs="Arial"/>
          <w:sz w:val="24"/>
        </w:rPr>
      </w:pPr>
      <w:r>
        <w:rPr>
          <w:rFonts w:cs="Arial"/>
          <w:sz w:val="24"/>
        </w:rPr>
        <w:t>December 26, 2022</w:t>
      </w:r>
    </w:p>
    <w:p w:rsidR="003A7405" w:rsidP="003A7405">
      <w:pPr>
        <w:spacing w:before="132" w:line="271" w:lineRule="exact"/>
        <w:jc w:val="center"/>
        <w:textAlignment w:val="baseline"/>
        <w:rPr>
          <w:rFonts w:eastAsia="Franklin Gothic Medium" w:cs="Arial"/>
          <w:b/>
          <w:color w:val="000000"/>
        </w:rPr>
      </w:pPr>
    </w:p>
    <w:p w:rsidR="003A7405" w:rsidRPr="0080607B" w:rsidP="003A7405">
      <w:pPr>
        <w:spacing w:before="132" w:line="271" w:lineRule="exact"/>
        <w:jc w:val="center"/>
        <w:textAlignment w:val="baseline"/>
        <w:rPr>
          <w:rFonts w:eastAsia="Franklin Gothic Medium" w:cs="Arial"/>
          <w:b/>
          <w:color w:val="000000"/>
        </w:rPr>
      </w:pPr>
    </w:p>
    <w:p w:rsidR="003A7405" w:rsidRPr="0080607B" w:rsidP="003A7405">
      <w:pPr>
        <w:spacing w:before="132" w:line="271" w:lineRule="exact"/>
        <w:jc w:val="center"/>
        <w:textAlignment w:val="baseline"/>
        <w:rPr>
          <w:rFonts w:eastAsia="Franklin Gothic Medium" w:cs="Arial"/>
          <w:i/>
          <w:color w:val="000000"/>
        </w:rPr>
      </w:pPr>
      <w:r w:rsidRPr="0080607B">
        <w:rPr>
          <w:rFonts w:eastAsia="Franklin Gothic Medium" w:cs="Arial"/>
          <w:i/>
          <w:color w:val="000000"/>
        </w:rPr>
        <w:t>Prepared For:</w:t>
      </w:r>
    </w:p>
    <w:p w:rsidR="003A7405" w:rsidRPr="0080607B" w:rsidP="003A7405">
      <w:pPr>
        <w:spacing w:before="132" w:line="271" w:lineRule="exact"/>
        <w:jc w:val="center"/>
        <w:textAlignment w:val="baseline"/>
        <w:rPr>
          <w:rFonts w:eastAsia="Franklin Gothic Medium" w:cs="Arial"/>
          <w:b/>
          <w:color w:val="000000"/>
        </w:rPr>
      </w:pPr>
      <w:r w:rsidRPr="0080607B">
        <w:rPr>
          <w:rFonts w:eastAsia="Franklin Gothic Medium" w:cs="Arial"/>
          <w:b/>
          <w:color w:val="000000"/>
        </w:rPr>
        <w:t>Minnesota Department of Commerce</w:t>
      </w:r>
    </w:p>
    <w:p w:rsidR="003A7405" w:rsidRPr="0080607B" w:rsidP="007F069A">
      <w:pPr>
        <w:spacing w:before="2" w:line="271" w:lineRule="exact"/>
        <w:jc w:val="center"/>
        <w:textAlignment w:val="baseline"/>
        <w:rPr>
          <w:rFonts w:eastAsia="Franklin Gothic Medium" w:cs="Arial"/>
          <w:i/>
          <w:color w:val="000000"/>
        </w:rPr>
      </w:pPr>
      <w:r w:rsidRPr="0080607B">
        <w:rPr>
          <w:rFonts w:eastAsia="Franklin Gothic Medium" w:cs="Arial"/>
          <w:i/>
          <w:color w:val="000000"/>
        </w:rPr>
        <w:t>Prepared By:</w:t>
      </w:r>
    </w:p>
    <w:p w:rsidR="003A7405" w:rsidP="003A7405">
      <w:pPr>
        <w:spacing w:before="2" w:line="271" w:lineRule="exact"/>
        <w:jc w:val="center"/>
        <w:textAlignment w:val="baseline"/>
        <w:rPr>
          <w:rFonts w:eastAsia="Franklin Gothic Medium" w:cs="Arial"/>
          <w:b/>
          <w:color w:val="000000"/>
        </w:rPr>
      </w:pPr>
      <w:r w:rsidRPr="0080607B">
        <w:rPr>
          <w:rFonts w:eastAsia="Franklin Gothic Medium" w:cs="Arial"/>
          <w:b/>
          <w:color w:val="000000"/>
        </w:rPr>
        <w:t>Prairie Island Indian Community</w:t>
      </w:r>
    </w:p>
    <w:p w:rsidR="003A7405" w:rsidP="003A7405">
      <w:pPr>
        <w:spacing w:before="2" w:line="271" w:lineRule="exact"/>
        <w:jc w:val="center"/>
        <w:textAlignment w:val="baseline"/>
        <w:rPr>
          <w:rFonts w:eastAsia="Franklin Gothic Medium" w:cs="Arial"/>
          <w:b/>
          <w:color w:val="000000"/>
        </w:rPr>
      </w:pPr>
      <w:r>
        <w:rPr>
          <w:rFonts w:eastAsia="Franklin Gothic Medium" w:cs="Arial"/>
          <w:b/>
          <w:noProof/>
          <w:color w:val="000000"/>
        </w:rPr>
        <w:drawing>
          <wp:anchor distT="0" distB="0" distL="114300" distR="114300" simplePos="0" relativeHeight="251658240" behindDoc="1" locked="0" layoutInCell="1" allowOverlap="1">
            <wp:simplePos x="0" y="0"/>
            <wp:positionH relativeFrom="column">
              <wp:posOffset>1736920</wp:posOffset>
            </wp:positionH>
            <wp:positionV relativeFrom="paragraph">
              <wp:posOffset>7913</wp:posOffset>
            </wp:positionV>
            <wp:extent cx="2545715" cy="2545715"/>
            <wp:effectExtent l="0" t="0" r="0" b="0"/>
            <wp:wrapTight wrapText="bothSides">
              <wp:wrapPolygon>
                <wp:start x="9213" y="3879"/>
                <wp:lineTo x="7920" y="4526"/>
                <wp:lineTo x="5172" y="6304"/>
                <wp:lineTo x="4041" y="9213"/>
                <wp:lineTo x="3879" y="11961"/>
                <wp:lineTo x="5011" y="14547"/>
                <wp:lineTo x="5011" y="14871"/>
                <wp:lineTo x="8082" y="17133"/>
                <wp:lineTo x="9213" y="17618"/>
                <wp:lineTo x="12284" y="17618"/>
                <wp:lineTo x="13416" y="17133"/>
                <wp:lineTo x="16487" y="14871"/>
                <wp:lineTo x="17618" y="11961"/>
                <wp:lineTo x="17618" y="9375"/>
                <wp:lineTo x="16810" y="7597"/>
                <wp:lineTo x="16487" y="6304"/>
                <wp:lineTo x="12284" y="3879"/>
                <wp:lineTo x="9213" y="387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073212" name="LOGO-banner-PNG-630x630-v006.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45715" cy="2545715"/>
                    </a:xfrm>
                    <a:prstGeom prst="rect">
                      <a:avLst/>
                    </a:prstGeom>
                  </pic:spPr>
                </pic:pic>
              </a:graphicData>
            </a:graphic>
            <wp14:sizeRelH relativeFrom="margin">
              <wp14:pctWidth>0</wp14:pctWidth>
            </wp14:sizeRelH>
            <wp14:sizeRelV relativeFrom="margin">
              <wp14:pctHeight>0</wp14:pctHeight>
            </wp14:sizeRelV>
          </wp:anchor>
        </w:drawing>
      </w:r>
    </w:p>
    <w:p w:rsidR="003A7405" w:rsidP="003A7405">
      <w:pPr>
        <w:spacing w:before="2" w:line="271" w:lineRule="exact"/>
        <w:jc w:val="center"/>
        <w:textAlignment w:val="baseline"/>
        <w:rPr>
          <w:rFonts w:eastAsia="Franklin Gothic Medium" w:cs="Arial"/>
          <w:b/>
          <w:color w:val="000000"/>
        </w:rPr>
      </w:pPr>
    </w:p>
    <w:p w:rsidR="003A7405" w:rsidP="003A7405">
      <w:pPr>
        <w:spacing w:before="2" w:line="271" w:lineRule="exact"/>
        <w:jc w:val="center"/>
        <w:textAlignment w:val="baseline"/>
        <w:rPr>
          <w:rFonts w:eastAsia="Franklin Gothic Medium" w:cs="Arial"/>
          <w:b/>
          <w:color w:val="000000"/>
        </w:rPr>
      </w:pPr>
    </w:p>
    <w:p w:rsidR="003A7405" w:rsidP="003A7405">
      <w:pPr>
        <w:spacing w:before="2" w:line="271" w:lineRule="exact"/>
        <w:jc w:val="center"/>
        <w:textAlignment w:val="baseline"/>
        <w:rPr>
          <w:rFonts w:eastAsia="Franklin Gothic Medium" w:cs="Arial"/>
          <w:b/>
          <w:color w:val="000000"/>
        </w:rPr>
      </w:pPr>
    </w:p>
    <w:p w:rsidR="003A7405" w:rsidRPr="0080607B" w:rsidP="003A7405">
      <w:pPr>
        <w:spacing w:before="2" w:line="271" w:lineRule="exact"/>
        <w:jc w:val="center"/>
        <w:textAlignment w:val="baseline"/>
        <w:rPr>
          <w:rFonts w:eastAsia="Franklin Gothic Medium" w:cs="Arial"/>
          <w:b/>
          <w:color w:val="000000"/>
        </w:rPr>
      </w:pPr>
    </w:p>
    <w:p w:rsidR="003A7405" w:rsidP="003A7405">
      <w:pPr>
        <w:spacing w:before="2" w:line="271" w:lineRule="exact"/>
        <w:textAlignment w:val="baseline"/>
        <w:rPr>
          <w:rFonts w:ascii="Franklin Gothic Medium" w:eastAsia="Franklin Gothic Medium" w:hAnsi="Franklin Gothic Medium"/>
          <w:b/>
          <w:color w:val="000000"/>
          <w:sz w:val="24"/>
        </w:rPr>
      </w:pPr>
    </w:p>
    <w:p w:rsidR="003A7405" w:rsidP="003A7405">
      <w:pPr>
        <w:spacing w:before="2" w:line="271" w:lineRule="exact"/>
        <w:textAlignment w:val="baseline"/>
        <w:rPr>
          <w:rFonts w:ascii="Franklin Gothic Medium" w:eastAsia="Franklin Gothic Medium" w:hAnsi="Franklin Gothic Medium"/>
          <w:b/>
          <w:color w:val="000000"/>
          <w:sz w:val="24"/>
        </w:rPr>
      </w:pPr>
    </w:p>
    <w:p w:rsidR="003A7405" w:rsidP="003A7405">
      <w:pPr>
        <w:spacing w:after="0"/>
        <w:rPr>
          <w:rFonts w:cs="Arial"/>
        </w:rPr>
      </w:pPr>
    </w:p>
    <w:p w:rsidR="003A7405" w:rsidP="003A7405">
      <w:pPr>
        <w:rPr>
          <w:rFonts w:cs="Arial"/>
        </w:rPr>
      </w:pPr>
    </w:p>
    <w:p w:rsidR="003A7405" w:rsidP="003A7405">
      <w:pPr>
        <w:rPr>
          <w:rFonts w:cs="Arial"/>
        </w:rPr>
      </w:pPr>
    </w:p>
    <w:p w:rsidR="00200F5D">
      <w:pPr>
        <w:rPr>
          <w:b/>
          <w:sz w:val="36"/>
        </w:rPr>
      </w:pPr>
      <w:r>
        <w:rPr>
          <w:b/>
          <w:sz w:val="36"/>
        </w:rPr>
        <w:br w:type="page"/>
      </w:r>
    </w:p>
    <w:sdt>
      <w:sdtPr>
        <w:rPr>
          <w:rFonts w:asciiTheme="minorHAnsi" w:eastAsiaTheme="minorHAnsi" w:hAnsiTheme="minorHAnsi" w:cstheme="minorBidi"/>
          <w:color w:val="auto"/>
          <w:sz w:val="22"/>
          <w:szCs w:val="22"/>
        </w:rPr>
        <w:id w:val="1057897814"/>
        <w:docPartObj>
          <w:docPartGallery w:val="Table of Contents"/>
          <w:docPartUnique/>
        </w:docPartObj>
      </w:sdtPr>
      <w:sdtEndPr>
        <w:rPr>
          <w:rFonts w:ascii="Arial" w:hAnsi="Arial"/>
          <w:b/>
          <w:bCs/>
          <w:noProof/>
          <w:sz w:val="20"/>
        </w:rPr>
      </w:sdtEndPr>
      <w:sdtContent>
        <w:p w:rsidR="00200F5D" w:rsidRPr="00200F5D">
          <w:pPr>
            <w:pStyle w:val="TOCHeading"/>
            <w:rPr>
              <w:rFonts w:ascii="Arial" w:hAnsi="Arial" w:cs="Arial"/>
              <w:b/>
              <w:color w:val="auto"/>
            </w:rPr>
          </w:pPr>
          <w:r w:rsidRPr="00200F5D">
            <w:rPr>
              <w:rFonts w:ascii="Arial" w:hAnsi="Arial" w:cs="Arial"/>
              <w:b/>
              <w:color w:val="auto"/>
            </w:rPr>
            <w:t>Contents</w:t>
          </w:r>
        </w:p>
        <w:p w:rsidR="001E5918">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21478246" w:history="1">
            <w:r w:rsidRPr="006248C6">
              <w:rPr>
                <w:rStyle w:val="Hyperlink"/>
                <w:noProof/>
              </w:rPr>
              <w:t>1. Executive Summary</w:t>
            </w:r>
            <w:r>
              <w:rPr>
                <w:noProof/>
                <w:webHidden/>
              </w:rPr>
              <w:tab/>
            </w:r>
            <w:r>
              <w:rPr>
                <w:noProof/>
                <w:webHidden/>
              </w:rPr>
              <w:fldChar w:fldCharType="begin"/>
            </w:r>
            <w:r>
              <w:rPr>
                <w:noProof/>
                <w:webHidden/>
              </w:rPr>
              <w:instrText xml:space="preserve"> PAGEREF _Toc121478246 \h </w:instrText>
            </w:r>
            <w:r>
              <w:rPr>
                <w:noProof/>
                <w:webHidden/>
              </w:rPr>
              <w:fldChar w:fldCharType="separate"/>
            </w:r>
            <w:r>
              <w:rPr>
                <w:noProof/>
                <w:webHidden/>
              </w:rPr>
              <w:t>3</w:t>
            </w:r>
            <w:r>
              <w:rPr>
                <w:noProof/>
                <w:webHidden/>
              </w:rPr>
              <w:fldChar w:fldCharType="end"/>
            </w:r>
          </w:hyperlink>
        </w:p>
        <w:p w:rsidR="001E5918">
          <w:pPr>
            <w:pStyle w:val="TOC1"/>
            <w:tabs>
              <w:tab w:val="right" w:leader="dot" w:pos="9350"/>
            </w:tabs>
            <w:rPr>
              <w:rFonts w:asciiTheme="minorHAnsi" w:eastAsiaTheme="minorEastAsia" w:hAnsiTheme="minorHAnsi"/>
              <w:noProof/>
              <w:sz w:val="22"/>
            </w:rPr>
          </w:pPr>
          <w:hyperlink w:anchor="_Toc121478247" w:history="1">
            <w:r w:rsidRPr="006248C6">
              <w:rPr>
                <w:rStyle w:val="Hyperlink"/>
                <w:noProof/>
              </w:rPr>
              <w:t>2. Review of Certified Costs</w:t>
            </w:r>
            <w:r>
              <w:rPr>
                <w:noProof/>
                <w:webHidden/>
              </w:rPr>
              <w:tab/>
            </w:r>
            <w:r>
              <w:rPr>
                <w:noProof/>
                <w:webHidden/>
              </w:rPr>
              <w:fldChar w:fldCharType="begin"/>
            </w:r>
            <w:r>
              <w:rPr>
                <w:noProof/>
                <w:webHidden/>
              </w:rPr>
              <w:instrText xml:space="preserve"> PAGEREF _Toc121478247 \h </w:instrText>
            </w:r>
            <w:r>
              <w:rPr>
                <w:noProof/>
                <w:webHidden/>
              </w:rPr>
              <w:fldChar w:fldCharType="separate"/>
            </w:r>
            <w:r>
              <w:rPr>
                <w:noProof/>
                <w:webHidden/>
              </w:rPr>
              <w:t>4</w:t>
            </w:r>
            <w:r>
              <w:rPr>
                <w:noProof/>
                <w:webHidden/>
              </w:rPr>
              <w:fldChar w:fldCharType="end"/>
            </w:r>
          </w:hyperlink>
        </w:p>
        <w:p w:rsidR="001E5918">
          <w:pPr>
            <w:pStyle w:val="TOC2"/>
            <w:tabs>
              <w:tab w:val="right" w:leader="dot" w:pos="9350"/>
            </w:tabs>
            <w:rPr>
              <w:rFonts w:asciiTheme="minorHAnsi" w:eastAsiaTheme="minorEastAsia" w:hAnsiTheme="minorHAnsi"/>
              <w:noProof/>
              <w:sz w:val="22"/>
            </w:rPr>
          </w:pPr>
          <w:hyperlink w:anchor="_Toc121478248" w:history="1">
            <w:r w:rsidRPr="006248C6">
              <w:rPr>
                <w:rStyle w:val="Hyperlink"/>
                <w:rFonts w:eastAsia="Times New Roman"/>
                <w:noProof/>
              </w:rPr>
              <w:t>2.1. Commercial Electrification Project</w:t>
            </w:r>
            <w:r>
              <w:rPr>
                <w:noProof/>
                <w:webHidden/>
              </w:rPr>
              <w:tab/>
            </w:r>
            <w:r>
              <w:rPr>
                <w:noProof/>
                <w:webHidden/>
              </w:rPr>
              <w:fldChar w:fldCharType="begin"/>
            </w:r>
            <w:r>
              <w:rPr>
                <w:noProof/>
                <w:webHidden/>
              </w:rPr>
              <w:instrText xml:space="preserve"> PAGEREF _Toc121478248 \h </w:instrText>
            </w:r>
            <w:r>
              <w:rPr>
                <w:noProof/>
                <w:webHidden/>
              </w:rPr>
              <w:fldChar w:fldCharType="separate"/>
            </w:r>
            <w:r>
              <w:rPr>
                <w:noProof/>
                <w:webHidden/>
              </w:rPr>
              <w:t>4</w:t>
            </w:r>
            <w:r>
              <w:rPr>
                <w:noProof/>
                <w:webHidden/>
              </w:rPr>
              <w:fldChar w:fldCharType="end"/>
            </w:r>
          </w:hyperlink>
        </w:p>
        <w:p w:rsidR="001E5918">
          <w:pPr>
            <w:pStyle w:val="TOC2"/>
            <w:tabs>
              <w:tab w:val="right" w:leader="dot" w:pos="9350"/>
            </w:tabs>
            <w:rPr>
              <w:rFonts w:asciiTheme="minorHAnsi" w:eastAsiaTheme="minorEastAsia" w:hAnsiTheme="minorHAnsi"/>
              <w:noProof/>
              <w:sz w:val="22"/>
            </w:rPr>
          </w:pPr>
          <w:hyperlink w:anchor="_Toc121478249" w:history="1">
            <w:r w:rsidRPr="006248C6">
              <w:rPr>
                <w:rStyle w:val="Hyperlink"/>
                <w:noProof/>
              </w:rPr>
              <w:t>2.2. Commercial Solar Renewable Energy Project</w:t>
            </w:r>
            <w:r>
              <w:rPr>
                <w:noProof/>
                <w:webHidden/>
              </w:rPr>
              <w:tab/>
            </w:r>
            <w:r>
              <w:rPr>
                <w:noProof/>
                <w:webHidden/>
              </w:rPr>
              <w:fldChar w:fldCharType="begin"/>
            </w:r>
            <w:r>
              <w:rPr>
                <w:noProof/>
                <w:webHidden/>
              </w:rPr>
              <w:instrText xml:space="preserve"> PAGEREF _Toc121478249 \h </w:instrText>
            </w:r>
            <w:r>
              <w:rPr>
                <w:noProof/>
                <w:webHidden/>
              </w:rPr>
              <w:fldChar w:fldCharType="separate"/>
            </w:r>
            <w:r>
              <w:rPr>
                <w:noProof/>
                <w:webHidden/>
              </w:rPr>
              <w:t>4</w:t>
            </w:r>
            <w:r>
              <w:rPr>
                <w:noProof/>
                <w:webHidden/>
              </w:rPr>
              <w:fldChar w:fldCharType="end"/>
            </w:r>
          </w:hyperlink>
        </w:p>
        <w:p w:rsidR="001E5918">
          <w:pPr>
            <w:pStyle w:val="TOC2"/>
            <w:tabs>
              <w:tab w:val="right" w:leader="dot" w:pos="9350"/>
            </w:tabs>
            <w:rPr>
              <w:rFonts w:asciiTheme="minorHAnsi" w:eastAsiaTheme="minorEastAsia" w:hAnsiTheme="minorHAnsi"/>
              <w:noProof/>
              <w:sz w:val="22"/>
            </w:rPr>
          </w:pPr>
          <w:hyperlink w:anchor="_Toc121478250" w:history="1">
            <w:r w:rsidRPr="006248C6">
              <w:rPr>
                <w:rStyle w:val="Hyperlink"/>
                <w:rFonts w:eastAsia="Times New Roman"/>
                <w:noProof/>
              </w:rPr>
              <w:t>2.3. Commercial Monitoring-based Commissioning Platform</w:t>
            </w:r>
            <w:r>
              <w:rPr>
                <w:noProof/>
                <w:webHidden/>
              </w:rPr>
              <w:tab/>
            </w:r>
            <w:r>
              <w:rPr>
                <w:noProof/>
                <w:webHidden/>
              </w:rPr>
              <w:fldChar w:fldCharType="begin"/>
            </w:r>
            <w:r>
              <w:rPr>
                <w:noProof/>
                <w:webHidden/>
              </w:rPr>
              <w:instrText xml:space="preserve"> PAGEREF _Toc121478250 \h </w:instrText>
            </w:r>
            <w:r>
              <w:rPr>
                <w:noProof/>
                <w:webHidden/>
              </w:rPr>
              <w:fldChar w:fldCharType="separate"/>
            </w:r>
            <w:r>
              <w:rPr>
                <w:noProof/>
                <w:webHidden/>
              </w:rPr>
              <w:t>5</w:t>
            </w:r>
            <w:r>
              <w:rPr>
                <w:noProof/>
                <w:webHidden/>
              </w:rPr>
              <w:fldChar w:fldCharType="end"/>
            </w:r>
          </w:hyperlink>
        </w:p>
        <w:p w:rsidR="001E5918">
          <w:pPr>
            <w:pStyle w:val="TOC2"/>
            <w:tabs>
              <w:tab w:val="right" w:leader="dot" w:pos="9350"/>
            </w:tabs>
            <w:rPr>
              <w:rFonts w:asciiTheme="minorHAnsi" w:eastAsiaTheme="minorEastAsia" w:hAnsiTheme="minorHAnsi"/>
              <w:noProof/>
              <w:sz w:val="22"/>
            </w:rPr>
          </w:pPr>
          <w:hyperlink w:anchor="_Toc121478251" w:history="1">
            <w:r w:rsidRPr="006248C6">
              <w:rPr>
                <w:rStyle w:val="Hyperlink"/>
                <w:noProof/>
              </w:rPr>
              <w:t xml:space="preserve">2.4. </w:t>
            </w:r>
            <w:r w:rsidRPr="006248C6">
              <w:rPr>
                <w:rStyle w:val="Hyperlink"/>
                <w:rFonts w:eastAsia="Times New Roman"/>
                <w:noProof/>
              </w:rPr>
              <w:t>Technical, Strategy, Management, and Legal Consulting Expertise</w:t>
            </w:r>
            <w:r>
              <w:rPr>
                <w:noProof/>
                <w:webHidden/>
              </w:rPr>
              <w:tab/>
            </w:r>
            <w:r>
              <w:rPr>
                <w:noProof/>
                <w:webHidden/>
              </w:rPr>
              <w:fldChar w:fldCharType="begin"/>
            </w:r>
            <w:r>
              <w:rPr>
                <w:noProof/>
                <w:webHidden/>
              </w:rPr>
              <w:instrText xml:space="preserve"> PAGEREF _Toc121478251 \h </w:instrText>
            </w:r>
            <w:r>
              <w:rPr>
                <w:noProof/>
                <w:webHidden/>
              </w:rPr>
              <w:fldChar w:fldCharType="separate"/>
            </w:r>
            <w:r>
              <w:rPr>
                <w:noProof/>
                <w:webHidden/>
              </w:rPr>
              <w:t>5</w:t>
            </w:r>
            <w:r>
              <w:rPr>
                <w:noProof/>
                <w:webHidden/>
              </w:rPr>
              <w:fldChar w:fldCharType="end"/>
            </w:r>
          </w:hyperlink>
        </w:p>
        <w:p w:rsidR="001E5918">
          <w:pPr>
            <w:pStyle w:val="TOC2"/>
            <w:tabs>
              <w:tab w:val="right" w:leader="dot" w:pos="9350"/>
            </w:tabs>
            <w:rPr>
              <w:rFonts w:asciiTheme="minorHAnsi" w:eastAsiaTheme="minorEastAsia" w:hAnsiTheme="minorHAnsi"/>
              <w:noProof/>
              <w:sz w:val="22"/>
            </w:rPr>
          </w:pPr>
          <w:hyperlink w:anchor="_Toc121478252" w:history="1">
            <w:r w:rsidRPr="006248C6">
              <w:rPr>
                <w:rStyle w:val="Hyperlink"/>
                <w:noProof/>
              </w:rPr>
              <w:t>2.5. PIIC Owner’s Operations &amp; Contingency</w:t>
            </w:r>
            <w:r>
              <w:rPr>
                <w:noProof/>
                <w:webHidden/>
              </w:rPr>
              <w:tab/>
            </w:r>
            <w:r>
              <w:rPr>
                <w:noProof/>
                <w:webHidden/>
              </w:rPr>
              <w:fldChar w:fldCharType="begin"/>
            </w:r>
            <w:r>
              <w:rPr>
                <w:noProof/>
                <w:webHidden/>
              </w:rPr>
              <w:instrText xml:space="preserve"> PAGEREF _Toc121478252 \h </w:instrText>
            </w:r>
            <w:r>
              <w:rPr>
                <w:noProof/>
                <w:webHidden/>
              </w:rPr>
              <w:fldChar w:fldCharType="separate"/>
            </w:r>
            <w:r>
              <w:rPr>
                <w:noProof/>
                <w:webHidden/>
              </w:rPr>
              <w:t>6</w:t>
            </w:r>
            <w:r>
              <w:rPr>
                <w:noProof/>
                <w:webHidden/>
              </w:rPr>
              <w:fldChar w:fldCharType="end"/>
            </w:r>
          </w:hyperlink>
        </w:p>
        <w:p w:rsidR="001E5918">
          <w:pPr>
            <w:pStyle w:val="TOC1"/>
            <w:tabs>
              <w:tab w:val="right" w:leader="dot" w:pos="9350"/>
            </w:tabs>
            <w:rPr>
              <w:rFonts w:asciiTheme="minorHAnsi" w:eastAsiaTheme="minorEastAsia" w:hAnsiTheme="minorHAnsi"/>
              <w:noProof/>
              <w:sz w:val="22"/>
            </w:rPr>
          </w:pPr>
          <w:hyperlink w:anchor="_Toc121478253" w:history="1">
            <w:r w:rsidRPr="006248C6">
              <w:rPr>
                <w:rStyle w:val="Hyperlink"/>
                <w:noProof/>
              </w:rPr>
              <w:t>3. PIIC Progress Towards Net Zero Goal</w:t>
            </w:r>
            <w:r>
              <w:rPr>
                <w:noProof/>
                <w:webHidden/>
              </w:rPr>
              <w:tab/>
            </w:r>
            <w:r>
              <w:rPr>
                <w:noProof/>
                <w:webHidden/>
              </w:rPr>
              <w:fldChar w:fldCharType="begin"/>
            </w:r>
            <w:r>
              <w:rPr>
                <w:noProof/>
                <w:webHidden/>
              </w:rPr>
              <w:instrText xml:space="preserve"> PAGEREF _Toc121478253 \h </w:instrText>
            </w:r>
            <w:r>
              <w:rPr>
                <w:noProof/>
                <w:webHidden/>
              </w:rPr>
              <w:fldChar w:fldCharType="separate"/>
            </w:r>
            <w:r>
              <w:rPr>
                <w:noProof/>
                <w:webHidden/>
              </w:rPr>
              <w:t>7</w:t>
            </w:r>
            <w:r>
              <w:rPr>
                <w:noProof/>
                <w:webHidden/>
              </w:rPr>
              <w:fldChar w:fldCharType="end"/>
            </w:r>
          </w:hyperlink>
        </w:p>
        <w:p w:rsidR="00200F5D">
          <w:r>
            <w:rPr>
              <w:b/>
              <w:bCs/>
              <w:noProof/>
            </w:rPr>
            <w:fldChar w:fldCharType="end"/>
          </w:r>
        </w:p>
      </w:sdtContent>
    </w:sdt>
    <w:p w:rsidR="00DC1E30">
      <w:pPr>
        <w:pStyle w:val="TableofFigures"/>
        <w:tabs>
          <w:tab w:val="right" w:leader="dot" w:pos="9350"/>
        </w:tabs>
        <w:rPr>
          <w:b/>
          <w:sz w:val="32"/>
        </w:rPr>
      </w:pPr>
    </w:p>
    <w:p w:rsidR="00267A9F" w:rsidRPr="00267A9F" w:rsidP="00267A9F">
      <w:pPr>
        <w:rPr>
          <w:b/>
          <w:sz w:val="32"/>
          <w:szCs w:val="32"/>
        </w:rPr>
      </w:pPr>
      <w:r w:rsidRPr="00267A9F">
        <w:rPr>
          <w:b/>
          <w:sz w:val="32"/>
          <w:szCs w:val="32"/>
        </w:rPr>
        <w:t>Figures</w:t>
      </w:r>
    </w:p>
    <w:p w:rsidR="001E5918">
      <w:pPr>
        <w:pStyle w:val="TableofFigures"/>
        <w:tabs>
          <w:tab w:val="right" w:leader="dot" w:pos="9350"/>
        </w:tabs>
        <w:rPr>
          <w:rFonts w:asciiTheme="minorHAnsi" w:eastAsiaTheme="minorEastAsia" w:hAnsiTheme="minorHAnsi"/>
          <w:noProof/>
          <w:sz w:val="22"/>
        </w:rPr>
      </w:pPr>
      <w:r>
        <w:fldChar w:fldCharType="begin"/>
      </w:r>
      <w:r>
        <w:instrText xml:space="preserve"> TOC \h \z \c "Figure" </w:instrText>
      </w:r>
      <w:r>
        <w:fldChar w:fldCharType="separate"/>
      </w:r>
      <w:hyperlink w:anchor="_Toc121478254" w:history="1">
        <w:r w:rsidRPr="00E20F16">
          <w:rPr>
            <w:rStyle w:val="Hyperlink"/>
            <w:noProof/>
          </w:rPr>
          <w:t>Figure 1. PIIC Certified Total Cost</w:t>
        </w:r>
        <w:r>
          <w:rPr>
            <w:noProof/>
            <w:webHidden/>
          </w:rPr>
          <w:tab/>
        </w:r>
        <w:r>
          <w:rPr>
            <w:noProof/>
            <w:webHidden/>
          </w:rPr>
          <w:fldChar w:fldCharType="begin"/>
        </w:r>
        <w:r>
          <w:rPr>
            <w:noProof/>
            <w:webHidden/>
          </w:rPr>
          <w:instrText xml:space="preserve"> PAGEREF _Toc121478254 \h </w:instrText>
        </w:r>
        <w:r>
          <w:rPr>
            <w:noProof/>
            <w:webHidden/>
          </w:rPr>
          <w:fldChar w:fldCharType="separate"/>
        </w:r>
        <w:r>
          <w:rPr>
            <w:noProof/>
            <w:webHidden/>
          </w:rPr>
          <w:t>3</w:t>
        </w:r>
        <w:r>
          <w:rPr>
            <w:noProof/>
            <w:webHidden/>
          </w:rPr>
          <w:fldChar w:fldCharType="end"/>
        </w:r>
      </w:hyperlink>
    </w:p>
    <w:p w:rsidR="001E5918">
      <w:pPr>
        <w:pStyle w:val="TableofFigures"/>
        <w:tabs>
          <w:tab w:val="right" w:leader="dot" w:pos="9350"/>
        </w:tabs>
        <w:rPr>
          <w:rFonts w:asciiTheme="minorHAnsi" w:eastAsiaTheme="minorEastAsia" w:hAnsiTheme="minorHAnsi"/>
          <w:noProof/>
          <w:sz w:val="22"/>
        </w:rPr>
      </w:pPr>
      <w:hyperlink w:anchor="_Toc121478255" w:history="1">
        <w:r w:rsidRPr="00E20F16">
          <w:rPr>
            <w:rStyle w:val="Hyperlink"/>
            <w:noProof/>
          </w:rPr>
          <w:t>Figure 2. Net Zero Project Phases</w:t>
        </w:r>
        <w:r>
          <w:rPr>
            <w:noProof/>
            <w:webHidden/>
          </w:rPr>
          <w:tab/>
        </w:r>
        <w:r>
          <w:rPr>
            <w:noProof/>
            <w:webHidden/>
          </w:rPr>
          <w:fldChar w:fldCharType="begin"/>
        </w:r>
        <w:r>
          <w:rPr>
            <w:noProof/>
            <w:webHidden/>
          </w:rPr>
          <w:instrText xml:space="preserve"> PAGEREF _Toc121478255 \h </w:instrText>
        </w:r>
        <w:r>
          <w:rPr>
            <w:noProof/>
            <w:webHidden/>
          </w:rPr>
          <w:fldChar w:fldCharType="separate"/>
        </w:r>
        <w:r>
          <w:rPr>
            <w:noProof/>
            <w:webHidden/>
          </w:rPr>
          <w:t>4</w:t>
        </w:r>
        <w:r>
          <w:rPr>
            <w:noProof/>
            <w:webHidden/>
          </w:rPr>
          <w:fldChar w:fldCharType="end"/>
        </w:r>
      </w:hyperlink>
    </w:p>
    <w:p w:rsidR="00267A9F" w:rsidRPr="00267A9F" w:rsidP="00267A9F">
      <w:r>
        <w:fldChar w:fldCharType="end"/>
      </w:r>
    </w:p>
    <w:p w:rsidR="00267A9F" w:rsidP="00DC1E30">
      <w:pPr>
        <w:pStyle w:val="TableofFigures"/>
        <w:tabs>
          <w:tab w:val="right" w:leader="dot" w:pos="9350"/>
        </w:tabs>
        <w:spacing w:after="120"/>
        <w:rPr>
          <w:b/>
          <w:sz w:val="32"/>
        </w:rPr>
      </w:pPr>
    </w:p>
    <w:p w:rsidR="00DC1E30" w:rsidRPr="00DC1E30" w:rsidP="00DC1E30">
      <w:pPr>
        <w:pStyle w:val="TableofFigures"/>
        <w:tabs>
          <w:tab w:val="right" w:leader="dot" w:pos="9350"/>
        </w:tabs>
        <w:spacing w:after="120"/>
        <w:rPr>
          <w:b/>
          <w:sz w:val="32"/>
        </w:rPr>
      </w:pPr>
      <w:r w:rsidRPr="00DC1E30">
        <w:rPr>
          <w:b/>
          <w:sz w:val="32"/>
        </w:rPr>
        <w:t>Tables</w:t>
      </w:r>
    </w:p>
    <w:p w:rsidR="001E5918">
      <w:pPr>
        <w:pStyle w:val="TableofFigures"/>
        <w:tabs>
          <w:tab w:val="right" w:leader="dot" w:pos="9350"/>
        </w:tabs>
        <w:rPr>
          <w:rFonts w:asciiTheme="minorHAnsi" w:eastAsiaTheme="minorEastAsia" w:hAnsiTheme="minorHAnsi"/>
          <w:noProof/>
          <w:sz w:val="22"/>
        </w:rPr>
      </w:pPr>
      <w:r>
        <w:rPr>
          <w:b/>
          <w:sz w:val="36"/>
        </w:rPr>
        <w:fldChar w:fldCharType="begin"/>
      </w:r>
      <w:r>
        <w:rPr>
          <w:b/>
          <w:sz w:val="36"/>
        </w:rPr>
        <w:instrText xml:space="preserve"> TOC \h \z \c "Table" </w:instrText>
      </w:r>
      <w:r>
        <w:rPr>
          <w:b/>
          <w:sz w:val="36"/>
        </w:rPr>
        <w:fldChar w:fldCharType="separate"/>
      </w:r>
      <w:hyperlink w:anchor="_Toc121478260" w:history="1">
        <w:r w:rsidRPr="00332524">
          <w:rPr>
            <w:rStyle w:val="Hyperlink"/>
            <w:noProof/>
          </w:rPr>
          <w:t>Table 1. Commercial Electrification Project Costs</w:t>
        </w:r>
        <w:r>
          <w:rPr>
            <w:noProof/>
            <w:webHidden/>
          </w:rPr>
          <w:tab/>
        </w:r>
        <w:r>
          <w:rPr>
            <w:noProof/>
            <w:webHidden/>
          </w:rPr>
          <w:fldChar w:fldCharType="begin"/>
        </w:r>
        <w:r>
          <w:rPr>
            <w:noProof/>
            <w:webHidden/>
          </w:rPr>
          <w:instrText xml:space="preserve"> PAGEREF _Toc121478260 \h </w:instrText>
        </w:r>
        <w:r>
          <w:rPr>
            <w:noProof/>
            <w:webHidden/>
          </w:rPr>
          <w:fldChar w:fldCharType="separate"/>
        </w:r>
        <w:r>
          <w:rPr>
            <w:noProof/>
            <w:webHidden/>
          </w:rPr>
          <w:t>4</w:t>
        </w:r>
        <w:r>
          <w:rPr>
            <w:noProof/>
            <w:webHidden/>
          </w:rPr>
          <w:fldChar w:fldCharType="end"/>
        </w:r>
      </w:hyperlink>
    </w:p>
    <w:p w:rsidR="001E5918">
      <w:pPr>
        <w:pStyle w:val="TableofFigures"/>
        <w:tabs>
          <w:tab w:val="right" w:leader="dot" w:pos="9350"/>
        </w:tabs>
        <w:rPr>
          <w:rFonts w:asciiTheme="minorHAnsi" w:eastAsiaTheme="minorEastAsia" w:hAnsiTheme="minorHAnsi"/>
          <w:noProof/>
          <w:sz w:val="22"/>
        </w:rPr>
      </w:pPr>
      <w:hyperlink w:anchor="_Toc121478261" w:history="1">
        <w:r w:rsidRPr="00332524">
          <w:rPr>
            <w:rStyle w:val="Hyperlink"/>
            <w:noProof/>
          </w:rPr>
          <w:t>Table 2. Commercial Solar Project Costs</w:t>
        </w:r>
        <w:r>
          <w:rPr>
            <w:noProof/>
            <w:webHidden/>
          </w:rPr>
          <w:tab/>
        </w:r>
        <w:r>
          <w:rPr>
            <w:noProof/>
            <w:webHidden/>
          </w:rPr>
          <w:fldChar w:fldCharType="begin"/>
        </w:r>
        <w:r>
          <w:rPr>
            <w:noProof/>
            <w:webHidden/>
          </w:rPr>
          <w:instrText xml:space="preserve"> PAGEREF _Toc121478261 \h </w:instrText>
        </w:r>
        <w:r>
          <w:rPr>
            <w:noProof/>
            <w:webHidden/>
          </w:rPr>
          <w:fldChar w:fldCharType="separate"/>
        </w:r>
        <w:r>
          <w:rPr>
            <w:noProof/>
            <w:webHidden/>
          </w:rPr>
          <w:t>5</w:t>
        </w:r>
        <w:r>
          <w:rPr>
            <w:noProof/>
            <w:webHidden/>
          </w:rPr>
          <w:fldChar w:fldCharType="end"/>
        </w:r>
      </w:hyperlink>
    </w:p>
    <w:p w:rsidR="001E5918">
      <w:pPr>
        <w:pStyle w:val="TableofFigures"/>
        <w:tabs>
          <w:tab w:val="right" w:leader="dot" w:pos="9350"/>
        </w:tabs>
        <w:rPr>
          <w:rFonts w:asciiTheme="minorHAnsi" w:eastAsiaTheme="minorEastAsia" w:hAnsiTheme="minorHAnsi"/>
          <w:noProof/>
          <w:sz w:val="22"/>
        </w:rPr>
      </w:pPr>
      <w:hyperlink w:anchor="_Toc121478262" w:history="1">
        <w:r w:rsidRPr="00332524">
          <w:rPr>
            <w:rStyle w:val="Hyperlink"/>
            <w:noProof/>
          </w:rPr>
          <w:t>Table 3. MBCx Platform Costs</w:t>
        </w:r>
        <w:r>
          <w:rPr>
            <w:noProof/>
            <w:webHidden/>
          </w:rPr>
          <w:tab/>
        </w:r>
        <w:r>
          <w:rPr>
            <w:noProof/>
            <w:webHidden/>
          </w:rPr>
          <w:fldChar w:fldCharType="begin"/>
        </w:r>
        <w:r>
          <w:rPr>
            <w:noProof/>
            <w:webHidden/>
          </w:rPr>
          <w:instrText xml:space="preserve"> PAGEREF _Toc121478262 \h </w:instrText>
        </w:r>
        <w:r>
          <w:rPr>
            <w:noProof/>
            <w:webHidden/>
          </w:rPr>
          <w:fldChar w:fldCharType="separate"/>
        </w:r>
        <w:r>
          <w:rPr>
            <w:noProof/>
            <w:webHidden/>
          </w:rPr>
          <w:t>5</w:t>
        </w:r>
        <w:r>
          <w:rPr>
            <w:noProof/>
            <w:webHidden/>
          </w:rPr>
          <w:fldChar w:fldCharType="end"/>
        </w:r>
      </w:hyperlink>
    </w:p>
    <w:p w:rsidR="001E5918">
      <w:pPr>
        <w:pStyle w:val="TableofFigures"/>
        <w:tabs>
          <w:tab w:val="right" w:leader="dot" w:pos="9350"/>
        </w:tabs>
        <w:rPr>
          <w:rFonts w:asciiTheme="minorHAnsi" w:eastAsiaTheme="minorEastAsia" w:hAnsiTheme="minorHAnsi"/>
          <w:noProof/>
          <w:sz w:val="22"/>
        </w:rPr>
      </w:pPr>
      <w:hyperlink w:anchor="_Toc121478263" w:history="1">
        <w:r w:rsidRPr="00332524">
          <w:rPr>
            <w:rStyle w:val="Hyperlink"/>
            <w:noProof/>
          </w:rPr>
          <w:t>Table 4. Consulting Costs</w:t>
        </w:r>
        <w:r>
          <w:rPr>
            <w:noProof/>
            <w:webHidden/>
          </w:rPr>
          <w:tab/>
        </w:r>
        <w:r>
          <w:rPr>
            <w:noProof/>
            <w:webHidden/>
          </w:rPr>
          <w:fldChar w:fldCharType="begin"/>
        </w:r>
        <w:r>
          <w:rPr>
            <w:noProof/>
            <w:webHidden/>
          </w:rPr>
          <w:instrText xml:space="preserve"> PAGEREF _Toc121478263 \h </w:instrText>
        </w:r>
        <w:r>
          <w:rPr>
            <w:noProof/>
            <w:webHidden/>
          </w:rPr>
          <w:fldChar w:fldCharType="separate"/>
        </w:r>
        <w:r>
          <w:rPr>
            <w:noProof/>
            <w:webHidden/>
          </w:rPr>
          <w:t>5</w:t>
        </w:r>
        <w:r>
          <w:rPr>
            <w:noProof/>
            <w:webHidden/>
          </w:rPr>
          <w:fldChar w:fldCharType="end"/>
        </w:r>
      </w:hyperlink>
    </w:p>
    <w:p w:rsidR="00350340" w:rsidP="00200F5D">
      <w:pPr>
        <w:rPr>
          <w:b/>
          <w:sz w:val="36"/>
        </w:rPr>
      </w:pPr>
      <w:r>
        <w:rPr>
          <w:b/>
          <w:sz w:val="36"/>
        </w:rPr>
        <w:fldChar w:fldCharType="end"/>
      </w:r>
      <w:r w:rsidR="003A7405">
        <w:rPr>
          <w:b/>
          <w:sz w:val="36"/>
        </w:rPr>
        <w:br w:type="page"/>
      </w:r>
    </w:p>
    <w:p w:rsidR="00697AE5" w:rsidP="00200F5D">
      <w:pPr>
        <w:pStyle w:val="Heading1"/>
      </w:pPr>
      <w:bookmarkStart w:id="1" w:name="_Toc121478246"/>
      <w:r w:rsidRPr="007D0879">
        <w:t xml:space="preserve">1. </w:t>
      </w:r>
      <w:r>
        <w:t>Executive Summary</w:t>
      </w:r>
      <w:bookmarkEnd w:id="1"/>
    </w:p>
    <w:p w:rsidR="00292567" w:rsidRPr="00292567" w:rsidP="00292567">
      <w:pPr>
        <w:spacing w:before="122" w:line="250" w:lineRule="exact"/>
        <w:jc w:val="both"/>
        <w:textAlignment w:val="baseline"/>
        <w:rPr>
          <w:rFonts w:eastAsia="Franklin Gothic Book" w:cs="Arial"/>
          <w:color w:val="000000"/>
          <w:szCs w:val="20"/>
        </w:rPr>
      </w:pPr>
      <w:r w:rsidRPr="0080607B">
        <w:rPr>
          <w:rFonts w:eastAsia="Franklin Gothic Book" w:cs="Arial"/>
          <w:color w:val="000000"/>
          <w:szCs w:val="20"/>
        </w:rPr>
        <w:t>On May 27, 2020, Minnesota Governor Tim Walz signed House File 1842. As provided in the legislation, the “Prairie Island Net Zero Project is established with the goal of the Prairie Island Indian Community developing an energy system that results in net zero emissions”</w:t>
      </w:r>
      <w:r>
        <w:rPr>
          <w:rFonts w:eastAsia="Franklin Gothic Book" w:cs="Arial"/>
          <w:color w:val="000000"/>
          <w:szCs w:val="20"/>
        </w:rPr>
        <w:t xml:space="preserve"> </w:t>
      </w:r>
      <w:r w:rsidRPr="0080607B">
        <w:rPr>
          <w:rFonts w:eastAsia="Franklin Gothic Book" w:cs="Arial"/>
          <w:color w:val="000000"/>
          <w:szCs w:val="20"/>
        </w:rPr>
        <w:t xml:space="preserve">(Laws of Minnesota 2020, chapter 118, section 3, subdivision </w:t>
      </w:r>
      <w:r>
        <w:rPr>
          <w:rFonts w:eastAsia="Franklin Gothic Book" w:cs="Arial"/>
          <w:color w:val="000000"/>
          <w:szCs w:val="20"/>
        </w:rPr>
        <w:t>1</w:t>
      </w:r>
      <w:r w:rsidRPr="0080607B">
        <w:rPr>
          <w:rFonts w:eastAsia="Franklin Gothic Book" w:cs="Arial"/>
          <w:color w:val="000000"/>
          <w:szCs w:val="20"/>
        </w:rPr>
        <w:t xml:space="preserve">). Further, the law </w:t>
      </w:r>
      <w:r>
        <w:rPr>
          <w:rFonts w:eastAsia="Franklin Gothic Book" w:cs="Arial"/>
          <w:color w:val="000000"/>
          <w:szCs w:val="20"/>
        </w:rPr>
        <w:t>reads: “</w:t>
      </w:r>
      <w:r w:rsidRPr="00292567">
        <w:rPr>
          <w:rFonts w:eastAsia="Franklin Gothic Book" w:cs="Arial"/>
          <w:color w:val="000000"/>
          <w:szCs w:val="20"/>
        </w:rPr>
        <w:t xml:space="preserve">The Prairie Island Indian Community must obtain bids to construct the proposed project from no fewer than three separate contractors and must enter into one or more contracts to complete the project and must submit the certified total cost to the commissioner no later than January 1, 2023” </w:t>
      </w:r>
      <w:r w:rsidRPr="0080607B">
        <w:rPr>
          <w:rFonts w:eastAsia="Franklin Gothic Book" w:cs="Arial"/>
          <w:color w:val="000000"/>
          <w:szCs w:val="20"/>
        </w:rPr>
        <w:t>(</w:t>
      </w:r>
      <w:r>
        <w:rPr>
          <w:rFonts w:eastAsia="Franklin Gothic Book" w:cs="Arial"/>
          <w:color w:val="000000"/>
          <w:szCs w:val="20"/>
        </w:rPr>
        <w:t>Amended</w:t>
      </w:r>
      <w:r>
        <w:rPr>
          <w:rStyle w:val="FootnoteReference"/>
          <w:rFonts w:eastAsia="Franklin Gothic Book" w:cs="Arial"/>
          <w:color w:val="000000"/>
          <w:szCs w:val="20"/>
        </w:rPr>
        <w:footnoteReference w:id="2"/>
      </w:r>
      <w:r>
        <w:rPr>
          <w:rFonts w:eastAsia="Franklin Gothic Book" w:cs="Arial"/>
          <w:color w:val="000000"/>
          <w:szCs w:val="20"/>
        </w:rPr>
        <w:t xml:space="preserve"> </w:t>
      </w:r>
      <w:r w:rsidRPr="0080607B">
        <w:rPr>
          <w:rFonts w:eastAsia="Franklin Gothic Book" w:cs="Arial"/>
          <w:color w:val="000000"/>
          <w:szCs w:val="20"/>
        </w:rPr>
        <w:t>Laws of Minnes</w:t>
      </w:r>
      <w:r w:rsidR="002636E3">
        <w:rPr>
          <w:rFonts w:eastAsia="Franklin Gothic Book" w:cs="Arial"/>
          <w:color w:val="000000"/>
          <w:szCs w:val="20"/>
        </w:rPr>
        <w:t>ota 2020, chapter 118</w:t>
      </w:r>
      <w:r w:rsidR="004941ED">
        <w:rPr>
          <w:rFonts w:eastAsia="Franklin Gothic Book" w:cs="Arial"/>
          <w:color w:val="000000"/>
          <w:szCs w:val="20"/>
        </w:rPr>
        <w:t>, section 3</w:t>
      </w:r>
      <w:r w:rsidRPr="0080607B">
        <w:rPr>
          <w:rFonts w:eastAsia="Franklin Gothic Book" w:cs="Arial"/>
          <w:color w:val="000000"/>
          <w:szCs w:val="20"/>
        </w:rPr>
        <w:t xml:space="preserve">, subdivision </w:t>
      </w:r>
      <w:r w:rsidR="006A1881">
        <w:rPr>
          <w:rFonts w:eastAsia="Franklin Gothic Book" w:cs="Arial"/>
          <w:color w:val="000000"/>
          <w:szCs w:val="20"/>
        </w:rPr>
        <w:t>3) and “</w:t>
      </w:r>
      <w:r w:rsidRPr="006A1881" w:rsidR="006A1881">
        <w:rPr>
          <w:rFonts w:eastAsia="Franklin Gothic Book" w:cs="Arial"/>
          <w:color w:val="000000"/>
          <w:szCs w:val="20"/>
        </w:rPr>
        <w:t>(d) For the purposes of this subdivision, "certified total cost" means the total cost of all contracts the Prairie Island Indian Community enters into with contractors to complete the Prairie Island Net Zero Project</w:t>
      </w:r>
      <w:r w:rsidR="006A1881">
        <w:rPr>
          <w:rFonts w:eastAsia="Franklin Gothic Book" w:cs="Arial"/>
          <w:color w:val="000000"/>
          <w:szCs w:val="20"/>
        </w:rPr>
        <w:t xml:space="preserve">” </w:t>
      </w:r>
      <w:r w:rsidRPr="0080607B" w:rsidR="006A1881">
        <w:rPr>
          <w:rFonts w:eastAsia="Franklin Gothic Book" w:cs="Arial"/>
          <w:color w:val="000000"/>
          <w:szCs w:val="20"/>
        </w:rPr>
        <w:t>(</w:t>
      </w:r>
      <w:r w:rsidR="006A1881">
        <w:rPr>
          <w:rFonts w:eastAsia="Franklin Gothic Book" w:cs="Arial"/>
          <w:color w:val="000000"/>
          <w:szCs w:val="20"/>
        </w:rPr>
        <w:t xml:space="preserve">Amended </w:t>
      </w:r>
      <w:r w:rsidRPr="004941ED" w:rsidR="004941ED">
        <w:rPr>
          <w:rFonts w:eastAsia="Franklin Gothic Book" w:cs="Arial"/>
          <w:color w:val="000000"/>
          <w:szCs w:val="20"/>
        </w:rPr>
        <w:t>Laws</w:t>
      </w:r>
      <w:r w:rsidR="00D35A5B">
        <w:rPr>
          <w:rFonts w:eastAsia="Franklin Gothic Book" w:cs="Arial"/>
          <w:color w:val="000000"/>
          <w:szCs w:val="20"/>
        </w:rPr>
        <w:t xml:space="preserve"> of Minnesota</w:t>
      </w:r>
      <w:r w:rsidRPr="004941ED" w:rsidR="004941ED">
        <w:rPr>
          <w:rFonts w:eastAsia="Franklin Gothic Book" w:cs="Arial"/>
          <w:color w:val="000000"/>
          <w:szCs w:val="20"/>
        </w:rPr>
        <w:t xml:space="preserve"> 2021, First Special Session</w:t>
      </w:r>
      <w:r w:rsidR="00A76E23">
        <w:rPr>
          <w:rFonts w:eastAsia="Franklin Gothic Book" w:cs="Arial"/>
          <w:color w:val="000000"/>
          <w:szCs w:val="20"/>
        </w:rPr>
        <w:t>,</w:t>
      </w:r>
      <w:r w:rsidRPr="004941ED" w:rsidR="004941ED">
        <w:rPr>
          <w:rFonts w:eastAsia="Franklin Gothic Book" w:cs="Arial"/>
          <w:color w:val="000000"/>
          <w:szCs w:val="20"/>
        </w:rPr>
        <w:t xml:space="preserve"> chapter 4, article 2, section 3</w:t>
      </w:r>
      <w:r w:rsidR="004941ED">
        <w:rPr>
          <w:rFonts w:eastAsia="Franklin Gothic Book" w:cs="Arial"/>
          <w:color w:val="000000"/>
          <w:szCs w:val="20"/>
        </w:rPr>
        <w:t>).</w:t>
      </w:r>
    </w:p>
    <w:p w:rsidR="00D109FD" w:rsidRPr="00877D21" w:rsidP="00292567">
      <w:pPr>
        <w:rPr>
          <w:rFonts w:cs="Arial"/>
          <w:szCs w:val="20"/>
        </w:rPr>
      </w:pPr>
      <w:r w:rsidRPr="00600F0F">
        <w:rPr>
          <w:rFonts w:cs="Arial"/>
          <w:szCs w:val="20"/>
        </w:rPr>
        <w:t>Herein is the Certified Total Cost filed with Minnesota Department of Commerce Commissioner Grace Arnold</w:t>
      </w:r>
      <w:r w:rsidR="00702285">
        <w:rPr>
          <w:rFonts w:cs="Arial"/>
          <w:szCs w:val="20"/>
        </w:rPr>
        <w:t xml:space="preserve">.  </w:t>
      </w:r>
      <w:r w:rsidR="00292567">
        <w:rPr>
          <w:rFonts w:cs="Arial"/>
          <w:szCs w:val="20"/>
        </w:rPr>
        <w:t xml:space="preserve">Consistent with the law, this </w:t>
      </w:r>
      <w:r w:rsidRPr="00292567" w:rsidR="00292567">
        <w:rPr>
          <w:rFonts w:cs="Arial"/>
          <w:i/>
          <w:szCs w:val="20"/>
        </w:rPr>
        <w:t xml:space="preserve">Certified </w:t>
      </w:r>
      <w:r w:rsidR="00D46EC2">
        <w:rPr>
          <w:rFonts w:cs="Arial"/>
          <w:i/>
          <w:szCs w:val="20"/>
        </w:rPr>
        <w:t xml:space="preserve">Total </w:t>
      </w:r>
      <w:r w:rsidRPr="00292567" w:rsidR="00292567">
        <w:rPr>
          <w:rFonts w:cs="Arial"/>
          <w:i/>
          <w:szCs w:val="20"/>
        </w:rPr>
        <w:t>Cost</w:t>
      </w:r>
      <w:r w:rsidR="00292567">
        <w:rPr>
          <w:rFonts w:cs="Arial"/>
          <w:szCs w:val="20"/>
        </w:rPr>
        <w:t xml:space="preserve"> </w:t>
      </w:r>
      <w:r w:rsidR="00434418">
        <w:rPr>
          <w:rFonts w:cs="Arial"/>
          <w:szCs w:val="20"/>
        </w:rPr>
        <w:t>certifies</w:t>
      </w:r>
      <w:r w:rsidR="00046E6C">
        <w:rPr>
          <w:rFonts w:cs="Arial"/>
          <w:szCs w:val="20"/>
        </w:rPr>
        <w:t>:</w:t>
      </w:r>
      <w:r w:rsidR="00312760">
        <w:rPr>
          <w:rFonts w:cs="Arial"/>
          <w:szCs w:val="20"/>
        </w:rPr>
        <w:t xml:space="preserve"> a)</w:t>
      </w:r>
      <w:r w:rsidR="00434418">
        <w:rPr>
          <w:rFonts w:cs="Arial"/>
          <w:szCs w:val="20"/>
        </w:rPr>
        <w:t xml:space="preserve"> total </w:t>
      </w:r>
      <w:r w:rsidR="00292567">
        <w:rPr>
          <w:rFonts w:cs="Arial"/>
          <w:szCs w:val="20"/>
        </w:rPr>
        <w:t>Prairie Island Indian Community (</w:t>
      </w:r>
      <w:r w:rsidR="008C5A2D">
        <w:rPr>
          <w:rFonts w:cs="Arial"/>
          <w:szCs w:val="20"/>
        </w:rPr>
        <w:t>“</w:t>
      </w:r>
      <w:r w:rsidR="00292567">
        <w:rPr>
          <w:rFonts w:cs="Arial"/>
          <w:szCs w:val="20"/>
        </w:rPr>
        <w:t>PIIC</w:t>
      </w:r>
      <w:r w:rsidR="008C5A2D">
        <w:rPr>
          <w:rFonts w:cs="Arial"/>
          <w:szCs w:val="20"/>
        </w:rPr>
        <w:t>”</w:t>
      </w:r>
      <w:r w:rsidR="00292567">
        <w:rPr>
          <w:rFonts w:cs="Arial"/>
          <w:szCs w:val="20"/>
        </w:rPr>
        <w:t xml:space="preserve">) Net Zero Project </w:t>
      </w:r>
      <w:r w:rsidR="00B248C1">
        <w:rPr>
          <w:rFonts w:cs="Arial"/>
          <w:szCs w:val="20"/>
        </w:rPr>
        <w:t>costs</w:t>
      </w:r>
      <w:r w:rsidR="00911D12">
        <w:rPr>
          <w:rFonts w:cs="Arial"/>
          <w:szCs w:val="20"/>
        </w:rPr>
        <w:t xml:space="preserve"> expended towards the appropriation</w:t>
      </w:r>
      <w:r w:rsidR="00312760">
        <w:rPr>
          <w:rFonts w:cs="Arial"/>
          <w:szCs w:val="20"/>
        </w:rPr>
        <w:t>,</w:t>
      </w:r>
      <w:r w:rsidR="00434418">
        <w:rPr>
          <w:rFonts w:cs="Arial"/>
          <w:szCs w:val="20"/>
        </w:rPr>
        <w:t xml:space="preserve"> and </w:t>
      </w:r>
      <w:r w:rsidR="00312760">
        <w:rPr>
          <w:rFonts w:cs="Arial"/>
          <w:szCs w:val="20"/>
        </w:rPr>
        <w:t>b)</w:t>
      </w:r>
      <w:r w:rsidR="00434418">
        <w:rPr>
          <w:rFonts w:cs="Arial"/>
          <w:szCs w:val="20"/>
        </w:rPr>
        <w:t xml:space="preserve"> </w:t>
      </w:r>
      <w:r w:rsidR="00D2129E">
        <w:rPr>
          <w:rFonts w:cs="Arial"/>
          <w:szCs w:val="20"/>
        </w:rPr>
        <w:t xml:space="preserve">affirms that </w:t>
      </w:r>
      <w:r w:rsidR="00911D12">
        <w:rPr>
          <w:rFonts w:cs="Arial"/>
          <w:szCs w:val="20"/>
        </w:rPr>
        <w:t xml:space="preserve">these </w:t>
      </w:r>
      <w:r w:rsidR="00D2129E">
        <w:rPr>
          <w:rFonts w:cs="Arial"/>
          <w:szCs w:val="20"/>
        </w:rPr>
        <w:t>PIIC costs</w:t>
      </w:r>
      <w:r w:rsidR="00B248C1">
        <w:rPr>
          <w:rFonts w:cs="Arial"/>
          <w:szCs w:val="20"/>
        </w:rPr>
        <w:t xml:space="preserve"> meet or </w:t>
      </w:r>
      <w:r w:rsidRPr="00877D21" w:rsidR="00292567">
        <w:rPr>
          <w:rFonts w:cs="Arial"/>
          <w:szCs w:val="20"/>
        </w:rPr>
        <w:t>exceed the $46</w:t>
      </w:r>
      <w:r w:rsidR="00046E6C">
        <w:rPr>
          <w:rFonts w:cs="Arial"/>
          <w:szCs w:val="20"/>
        </w:rPr>
        <w:t>.2M</w:t>
      </w:r>
      <w:r w:rsidRPr="00877D21" w:rsidR="00292567">
        <w:rPr>
          <w:rFonts w:cs="Arial"/>
          <w:szCs w:val="20"/>
        </w:rPr>
        <w:t xml:space="preserve"> </w:t>
      </w:r>
      <w:r w:rsidRPr="00877D21" w:rsidR="00D2129E">
        <w:rPr>
          <w:rFonts w:cs="Arial"/>
          <w:szCs w:val="20"/>
        </w:rPr>
        <w:t>appropriated</w:t>
      </w:r>
      <w:r w:rsidR="000F48D7">
        <w:rPr>
          <w:rFonts w:cs="Arial"/>
          <w:szCs w:val="20"/>
        </w:rPr>
        <w:t>, and t</w:t>
      </w:r>
      <w:r w:rsidRPr="00877D21" w:rsidR="00292567">
        <w:rPr>
          <w:rFonts w:cs="Arial"/>
          <w:szCs w:val="20"/>
        </w:rPr>
        <w:t>herefore</w:t>
      </w:r>
      <w:r w:rsidRPr="00877D21" w:rsidR="00434418">
        <w:rPr>
          <w:rFonts w:cs="Arial"/>
          <w:szCs w:val="20"/>
        </w:rPr>
        <w:t xml:space="preserve">, </w:t>
      </w:r>
      <w:r w:rsidRPr="00877D21" w:rsidR="00D2129E">
        <w:rPr>
          <w:rFonts w:cs="Arial"/>
          <w:szCs w:val="20"/>
        </w:rPr>
        <w:t xml:space="preserve">PIIC will return </w:t>
      </w:r>
      <w:r w:rsidRPr="00877D21" w:rsidR="00292567">
        <w:rPr>
          <w:rFonts w:cs="Arial"/>
          <w:szCs w:val="20"/>
        </w:rPr>
        <w:t>no</w:t>
      </w:r>
      <w:r w:rsidRPr="00877D21" w:rsidR="00D2129E">
        <w:rPr>
          <w:rFonts w:cs="Arial"/>
          <w:szCs w:val="20"/>
        </w:rPr>
        <w:t xml:space="preserve"> </w:t>
      </w:r>
      <w:r w:rsidR="00702285">
        <w:rPr>
          <w:rFonts w:cs="Arial"/>
          <w:szCs w:val="20"/>
        </w:rPr>
        <w:t xml:space="preserve">extraneous </w:t>
      </w:r>
      <w:r w:rsidRPr="00877D21" w:rsidR="00312760">
        <w:rPr>
          <w:rFonts w:cs="Arial"/>
          <w:szCs w:val="20"/>
        </w:rPr>
        <w:t>funds</w:t>
      </w:r>
      <w:r w:rsidRPr="00877D21" w:rsidR="00B248C1">
        <w:rPr>
          <w:rFonts w:cs="Arial"/>
          <w:szCs w:val="20"/>
        </w:rPr>
        <w:t xml:space="preserve"> to</w:t>
      </w:r>
      <w:r w:rsidRPr="00877D21" w:rsidR="00292567">
        <w:rPr>
          <w:rFonts w:cs="Arial"/>
          <w:szCs w:val="20"/>
        </w:rPr>
        <w:t xml:space="preserve"> </w:t>
      </w:r>
      <w:r w:rsidR="0059702D">
        <w:rPr>
          <w:rFonts w:cs="Arial"/>
          <w:szCs w:val="20"/>
        </w:rPr>
        <w:t>the</w:t>
      </w:r>
      <w:r w:rsidRPr="00877D21" w:rsidR="00292567">
        <w:rPr>
          <w:rFonts w:cs="Arial"/>
          <w:szCs w:val="20"/>
        </w:rPr>
        <w:t xml:space="preserve"> </w:t>
      </w:r>
      <w:r w:rsidR="008A6135">
        <w:rPr>
          <w:rFonts w:cs="Arial"/>
          <w:szCs w:val="20"/>
        </w:rPr>
        <w:t>S</w:t>
      </w:r>
      <w:r w:rsidR="00262052">
        <w:rPr>
          <w:rFonts w:cs="Arial"/>
          <w:szCs w:val="20"/>
        </w:rPr>
        <w:t>tate of Minnesota</w:t>
      </w:r>
      <w:r w:rsidRPr="00877D21" w:rsidR="00292567">
        <w:rPr>
          <w:rFonts w:cs="Arial"/>
          <w:szCs w:val="20"/>
        </w:rPr>
        <w:t xml:space="preserve">. </w:t>
      </w:r>
    </w:p>
    <w:p w:rsidR="00292567" w:rsidP="00292567">
      <w:pPr>
        <w:rPr>
          <w:rFonts w:cs="Arial"/>
        </w:rPr>
      </w:pPr>
      <w:r w:rsidRPr="00877D21">
        <w:rPr>
          <w:rFonts w:cs="Arial"/>
          <w:szCs w:val="20"/>
        </w:rPr>
        <w:t>Figure 1</w:t>
      </w:r>
      <w:r w:rsidRPr="00877D21" w:rsidR="00B248C1">
        <w:rPr>
          <w:rFonts w:cs="Arial"/>
          <w:szCs w:val="20"/>
        </w:rPr>
        <w:t xml:space="preserve"> </w:t>
      </w:r>
      <w:r w:rsidRPr="00877D21" w:rsidR="00312760">
        <w:rPr>
          <w:rFonts w:cs="Arial"/>
        </w:rPr>
        <w:t>identifies</w:t>
      </w:r>
      <w:r w:rsidR="000F48D7">
        <w:rPr>
          <w:rFonts w:cs="Arial"/>
        </w:rPr>
        <w:t xml:space="preserve"> PIIC total </w:t>
      </w:r>
      <w:r w:rsidRPr="00877D21" w:rsidR="00D2129E">
        <w:rPr>
          <w:rFonts w:cs="Arial"/>
        </w:rPr>
        <w:t>certified Net Zero Project costs</w:t>
      </w:r>
      <w:r w:rsidRPr="00877D21" w:rsidR="00B248C1">
        <w:rPr>
          <w:rFonts w:cs="Arial"/>
        </w:rPr>
        <w:t xml:space="preserve">. </w:t>
      </w:r>
      <w:r w:rsidRPr="00877D21" w:rsidR="005C14D0">
        <w:rPr>
          <w:rFonts w:cs="Arial"/>
        </w:rPr>
        <w:t>The following sections</w:t>
      </w:r>
      <w:r w:rsidRPr="00877D21" w:rsidR="00B248C1">
        <w:rPr>
          <w:rFonts w:cs="Arial"/>
        </w:rPr>
        <w:t xml:space="preserve"> </w:t>
      </w:r>
      <w:r w:rsidRPr="00877D21" w:rsidR="00312760">
        <w:rPr>
          <w:rFonts w:cs="Arial"/>
        </w:rPr>
        <w:t xml:space="preserve">provide detail on </w:t>
      </w:r>
      <w:r w:rsidRPr="00877D21" w:rsidR="00D2129E">
        <w:rPr>
          <w:rFonts w:cs="Arial"/>
        </w:rPr>
        <w:t xml:space="preserve">costs as well as </w:t>
      </w:r>
      <w:r w:rsidRPr="00877D21" w:rsidR="00B248C1">
        <w:rPr>
          <w:rFonts w:cs="Arial"/>
        </w:rPr>
        <w:t>PIIC compliance</w:t>
      </w:r>
      <w:r w:rsidR="00B248C1">
        <w:rPr>
          <w:rFonts w:cs="Arial"/>
        </w:rPr>
        <w:t xml:space="preserve"> with legislation requirements </w:t>
      </w:r>
      <w:r w:rsidR="000F48D7">
        <w:rPr>
          <w:rFonts w:cs="Arial"/>
        </w:rPr>
        <w:t>for</w:t>
      </w:r>
      <w:r w:rsidR="00B248C1">
        <w:rPr>
          <w:rFonts w:cs="Arial"/>
        </w:rPr>
        <w:t xml:space="preserve"> competitive</w:t>
      </w:r>
      <w:r w:rsidR="00D2129E">
        <w:rPr>
          <w:rFonts w:cs="Arial"/>
        </w:rPr>
        <w:t xml:space="preserve"> procurement.</w:t>
      </w:r>
    </w:p>
    <w:p w:rsidR="00D46EC2" w:rsidP="00D46EC2">
      <w:pPr>
        <w:keepNext/>
      </w:pPr>
      <w:r>
        <w:rPr>
          <w:rFonts w:cs="Arial"/>
          <w:noProof/>
          <w:szCs w:val="20"/>
        </w:rPr>
        <w:drawing>
          <wp:inline distT="0" distB="0" distL="0" distR="0">
            <wp:extent cx="5915025" cy="30543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248C1" w:rsidP="00D46EC2">
      <w:pPr>
        <w:pStyle w:val="Caption"/>
        <w:rPr>
          <w:rFonts w:cs="Arial"/>
          <w:szCs w:val="20"/>
        </w:rPr>
      </w:pPr>
      <w:bookmarkStart w:id="2" w:name="_Toc121478254"/>
      <w:r>
        <w:t xml:space="preserve">Figure </w:t>
      </w:r>
      <w:r>
        <w:fldChar w:fldCharType="begin"/>
      </w:r>
      <w:r>
        <w:instrText xml:space="preserve"> SEQ Figure \* ARABIC </w:instrText>
      </w:r>
      <w:r>
        <w:fldChar w:fldCharType="separate"/>
      </w:r>
      <w:r>
        <w:t>1</w:t>
      </w:r>
      <w:r w:rsidR="0011479F">
        <w:rPr>
          <w:noProof/>
        </w:rPr>
        <w:fldChar w:fldCharType="end"/>
      </w:r>
      <w:r w:rsidR="00322B43">
        <w:t>. PIIC Certified Total Cost</w:t>
      </w:r>
      <w:bookmarkEnd w:id="2"/>
    </w:p>
    <w:p w:rsidR="00267A9F" w:rsidP="00267A9F">
      <w:pPr>
        <w:rPr>
          <w:rFonts w:cs="Arial"/>
        </w:rPr>
      </w:pPr>
      <w:r>
        <w:rPr>
          <w:rFonts w:cs="Arial"/>
        </w:rPr>
        <w:t>The PIIC</w:t>
      </w:r>
      <w:r>
        <w:rPr>
          <w:rFonts w:cs="Arial"/>
        </w:rPr>
        <w:t xml:space="preserve"> Net Zero</w:t>
      </w:r>
      <w:r w:rsidRPr="00C150ED">
        <w:rPr>
          <w:rFonts w:cs="Arial"/>
        </w:rPr>
        <w:t xml:space="preserve"> Project comprises three phases</w:t>
      </w:r>
      <w:r>
        <w:rPr>
          <w:rFonts w:cs="Arial"/>
        </w:rPr>
        <w:t xml:space="preserve"> as </w:t>
      </w:r>
      <w:r w:rsidRPr="00877D21">
        <w:rPr>
          <w:rFonts w:cs="Arial"/>
        </w:rPr>
        <w:t xml:space="preserve">shown in </w:t>
      </w:r>
      <w:r w:rsidRPr="00877D21" w:rsidR="002636E3">
        <w:rPr>
          <w:rFonts w:cs="Arial"/>
        </w:rPr>
        <w:t xml:space="preserve">Figure </w:t>
      </w:r>
      <w:r w:rsidRPr="00877D21" w:rsidR="00877D21">
        <w:rPr>
          <w:rFonts w:cs="Arial"/>
        </w:rPr>
        <w:t>2</w:t>
      </w:r>
      <w:r w:rsidRPr="00877D21">
        <w:rPr>
          <w:rFonts w:cs="Arial"/>
        </w:rPr>
        <w:t>, from</w:t>
      </w:r>
      <w:r w:rsidRPr="00C150ED">
        <w:rPr>
          <w:rFonts w:cs="Arial"/>
        </w:rPr>
        <w:t xml:space="preserve"> planning through procurement, design, and construction of solutions. </w:t>
      </w:r>
      <w:r>
        <w:rPr>
          <w:rFonts w:cs="Arial"/>
        </w:rPr>
        <w:t xml:space="preserve">This </w:t>
      </w:r>
      <w:r w:rsidRPr="00312760">
        <w:rPr>
          <w:rFonts w:cs="Arial"/>
          <w:i/>
        </w:rPr>
        <w:t xml:space="preserve">Certified </w:t>
      </w:r>
      <w:r w:rsidRPr="00312760" w:rsidR="00312760">
        <w:rPr>
          <w:rFonts w:cs="Arial"/>
          <w:i/>
        </w:rPr>
        <w:t xml:space="preserve">Total </w:t>
      </w:r>
      <w:r w:rsidRPr="00312760">
        <w:rPr>
          <w:rFonts w:cs="Arial"/>
          <w:i/>
        </w:rPr>
        <w:t>Cost</w:t>
      </w:r>
      <w:r>
        <w:rPr>
          <w:rFonts w:cs="Arial"/>
        </w:rPr>
        <w:t xml:space="preserve"> concludes Phase II. </w:t>
      </w:r>
    </w:p>
    <w:p w:rsidR="00267A9F" w:rsidP="00267A9F">
      <w:pPr>
        <w:pStyle w:val="NormalWeb"/>
        <w:keepNext/>
        <w:spacing w:before="120" w:beforeAutospacing="0" w:after="120" w:afterAutospacing="0" w:line="259" w:lineRule="auto"/>
      </w:pPr>
      <w:r>
        <w:rPr>
          <w:rFonts w:ascii="Arial" w:hAnsi="Arial" w:cs="Arial"/>
          <w:noProof/>
          <w:sz w:val="20"/>
        </w:rPr>
        <w:drawing>
          <wp:inline distT="0" distB="0" distL="0" distR="0">
            <wp:extent cx="5964555" cy="1301261"/>
            <wp:effectExtent l="1905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67A9F" w:rsidP="00267A9F">
      <w:pPr>
        <w:pStyle w:val="Caption"/>
      </w:pPr>
      <w:bookmarkStart w:id="3" w:name="_Toc105411332"/>
      <w:bookmarkStart w:id="4" w:name="_Toc121478255"/>
      <w:r w:rsidRPr="00782EB9">
        <w:t xml:space="preserve">Figure </w:t>
      </w:r>
      <w:r>
        <w:fldChar w:fldCharType="begin"/>
      </w:r>
      <w:r>
        <w:instrText xml:space="preserve"> SEQ Figure \* ARABIC </w:instrText>
      </w:r>
      <w:r>
        <w:fldChar w:fldCharType="separate"/>
      </w:r>
      <w:r>
        <w:t>2</w:t>
      </w:r>
      <w:r w:rsidR="0011479F">
        <w:rPr>
          <w:noProof/>
        </w:rPr>
        <w:fldChar w:fldCharType="end"/>
      </w:r>
      <w:r w:rsidRPr="00782EB9">
        <w:t>. Net Zero Project Phases</w:t>
      </w:r>
      <w:bookmarkEnd w:id="3"/>
      <w:bookmarkEnd w:id="4"/>
    </w:p>
    <w:p w:rsidR="00D2129E" w:rsidRPr="00D2129E" w:rsidP="00D2129E">
      <w:r>
        <w:rPr>
          <w:rFonts w:cs="Arial"/>
        </w:rPr>
        <w:t xml:space="preserve">PIIC thanks </w:t>
      </w:r>
      <w:r w:rsidR="008A6135">
        <w:rPr>
          <w:rFonts w:cs="Arial"/>
        </w:rPr>
        <w:t>the Minnesota Department of Commerce</w:t>
      </w:r>
      <w:r>
        <w:rPr>
          <w:rFonts w:cs="Arial"/>
        </w:rPr>
        <w:t xml:space="preserve"> for its support of the PIIC Net Zero Project and is willing to </w:t>
      </w:r>
      <w:r w:rsidR="00046E6C">
        <w:rPr>
          <w:rFonts w:cs="Arial"/>
        </w:rPr>
        <w:t>respond to</w:t>
      </w:r>
      <w:r>
        <w:rPr>
          <w:rFonts w:cs="Arial"/>
        </w:rPr>
        <w:t xml:space="preserve"> any additional inquiries not addressed within this report. PIIC</w:t>
      </w:r>
      <w:r w:rsidR="008A6135">
        <w:rPr>
          <w:rFonts w:cs="Arial"/>
        </w:rPr>
        <w:t>’s</w:t>
      </w:r>
      <w:r>
        <w:rPr>
          <w:rFonts w:cs="Arial"/>
        </w:rPr>
        <w:t xml:space="preserve"> legal</w:t>
      </w:r>
      <w:r w:rsidR="000F48D7">
        <w:rPr>
          <w:rFonts w:cs="Arial"/>
        </w:rPr>
        <w:t>ly binding</w:t>
      </w:r>
      <w:r>
        <w:rPr>
          <w:rFonts w:cs="Arial"/>
        </w:rPr>
        <w:t xml:space="preserve"> agreements</w:t>
      </w:r>
      <w:r w:rsidR="000F48D7">
        <w:rPr>
          <w:rFonts w:cs="Arial"/>
        </w:rPr>
        <w:t xml:space="preserve"> with consultants and contractors</w:t>
      </w:r>
      <w:r>
        <w:rPr>
          <w:rFonts w:cs="Arial"/>
        </w:rPr>
        <w:t xml:space="preserve"> </w:t>
      </w:r>
      <w:r w:rsidR="000F48D7">
        <w:rPr>
          <w:rFonts w:cs="Arial"/>
        </w:rPr>
        <w:t xml:space="preserve">that </w:t>
      </w:r>
      <w:r w:rsidR="00046E6C">
        <w:rPr>
          <w:rFonts w:cs="Arial"/>
        </w:rPr>
        <w:t>back up</w:t>
      </w:r>
      <w:r w:rsidR="000F48D7">
        <w:rPr>
          <w:rFonts w:cs="Arial"/>
        </w:rPr>
        <w:t xml:space="preserve"> this </w:t>
      </w:r>
      <w:r w:rsidRPr="000F48D7" w:rsidR="000F48D7">
        <w:rPr>
          <w:rFonts w:cs="Arial"/>
          <w:i/>
        </w:rPr>
        <w:t>Certified Total Cost</w:t>
      </w:r>
      <w:r w:rsidR="000F48D7">
        <w:rPr>
          <w:rFonts w:cs="Arial"/>
        </w:rPr>
        <w:t xml:space="preserve"> a</w:t>
      </w:r>
      <w:r>
        <w:rPr>
          <w:rFonts w:cs="Arial"/>
        </w:rPr>
        <w:t>re available upon request.</w:t>
      </w:r>
    </w:p>
    <w:p w:rsidR="00C63B4D" w:rsidRPr="00200F5D" w:rsidP="00200F5D">
      <w:pPr>
        <w:pStyle w:val="Heading1"/>
      </w:pPr>
      <w:bookmarkStart w:id="5" w:name="_Toc121478247"/>
      <w:r>
        <w:t>2. Review of Certified</w:t>
      </w:r>
      <w:r w:rsidRPr="007D0879" w:rsidR="007D0879">
        <w:t xml:space="preserve"> Costs</w:t>
      </w:r>
      <w:bookmarkEnd w:id="5"/>
    </w:p>
    <w:p w:rsidR="00350340" w:rsidRPr="00A433C0" w:rsidP="00200F5D">
      <w:pPr>
        <w:pStyle w:val="Heading2"/>
        <w:rPr>
          <w:rFonts w:ascii="Calibri" w:eastAsia="Times New Roman" w:hAnsi="Calibri" w:cs="Calibri"/>
        </w:rPr>
      </w:pPr>
      <w:bookmarkStart w:id="6" w:name="_Toc121478248"/>
      <w:r>
        <w:rPr>
          <w:rFonts w:eastAsia="Times New Roman"/>
        </w:rPr>
        <w:t>2.1. Commercial Electrification Project</w:t>
      </w:r>
      <w:bookmarkEnd w:id="6"/>
    </w:p>
    <w:p w:rsidR="00534815" w:rsidRPr="00D46EC2" w:rsidP="00D46EC2">
      <w:pPr>
        <w:spacing w:before="120" w:after="120"/>
        <w:rPr>
          <w:rFonts w:cs="Arial"/>
          <w:szCs w:val="18"/>
        </w:rPr>
      </w:pPr>
      <w:r w:rsidRPr="00C150ED">
        <w:rPr>
          <w:rFonts w:cs="Arial"/>
          <w:szCs w:val="18"/>
        </w:rPr>
        <w:t xml:space="preserve">Electrifying </w:t>
      </w:r>
      <w:r>
        <w:rPr>
          <w:rFonts w:cs="Arial"/>
          <w:szCs w:val="18"/>
        </w:rPr>
        <w:t>PIIC commercial end uses--replacing natural gas with electric technologies</w:t>
      </w:r>
      <w:r w:rsidR="00296A69">
        <w:rPr>
          <w:rFonts w:cs="Arial"/>
          <w:szCs w:val="18"/>
        </w:rPr>
        <w:t>,</w:t>
      </w:r>
      <w:r>
        <w:rPr>
          <w:rFonts w:cs="Arial"/>
          <w:szCs w:val="18"/>
        </w:rPr>
        <w:t xml:space="preserve"> backed by clean generation sources--is the foundation of PIIC</w:t>
      </w:r>
      <w:r w:rsidRPr="00C150ED">
        <w:rPr>
          <w:rFonts w:cs="Arial"/>
          <w:szCs w:val="18"/>
        </w:rPr>
        <w:t xml:space="preserve"> </w:t>
      </w:r>
      <w:r>
        <w:rPr>
          <w:rFonts w:cs="Arial"/>
          <w:szCs w:val="18"/>
        </w:rPr>
        <w:t xml:space="preserve">efforts to achieve Net Zero. </w:t>
      </w:r>
      <w:r w:rsidR="00911D12">
        <w:rPr>
          <w:rFonts w:cs="Arial"/>
          <w:szCs w:val="18"/>
        </w:rPr>
        <w:t xml:space="preserve">In early 2022, </w:t>
      </w:r>
      <w:r w:rsidR="0092390D">
        <w:rPr>
          <w:rFonts w:cs="Arial"/>
          <w:szCs w:val="18"/>
        </w:rPr>
        <w:t>PIIC facilitated a Request for Proposal (“</w:t>
      </w:r>
      <w:r>
        <w:rPr>
          <w:rFonts w:cs="Arial"/>
          <w:szCs w:val="18"/>
        </w:rPr>
        <w:t>RFP</w:t>
      </w:r>
      <w:r w:rsidR="0092390D">
        <w:rPr>
          <w:rFonts w:cs="Arial"/>
          <w:szCs w:val="18"/>
        </w:rPr>
        <w:t>”)</w:t>
      </w:r>
      <w:r>
        <w:rPr>
          <w:rFonts w:cs="Arial"/>
          <w:szCs w:val="18"/>
        </w:rPr>
        <w:t xml:space="preserve"> process through which </w:t>
      </w:r>
      <w:r w:rsidR="00296A69">
        <w:rPr>
          <w:rFonts w:cs="Arial"/>
          <w:szCs w:val="18"/>
        </w:rPr>
        <w:t>the community</w:t>
      </w:r>
      <w:r>
        <w:rPr>
          <w:rFonts w:cs="Arial"/>
          <w:szCs w:val="18"/>
        </w:rPr>
        <w:t xml:space="preserve"> </w:t>
      </w:r>
      <w:r w:rsidR="00296A69">
        <w:rPr>
          <w:rFonts w:cs="Arial"/>
          <w:szCs w:val="18"/>
        </w:rPr>
        <w:t>received</w:t>
      </w:r>
      <w:r>
        <w:rPr>
          <w:rFonts w:cs="Arial"/>
          <w:szCs w:val="18"/>
        </w:rPr>
        <w:t xml:space="preserve"> four bids for contractor teams to design and build a commercial electrification </w:t>
      </w:r>
      <w:r w:rsidR="00296A69">
        <w:rPr>
          <w:rFonts w:cs="Arial"/>
          <w:szCs w:val="18"/>
        </w:rPr>
        <w:t>solution</w:t>
      </w:r>
      <w:r>
        <w:rPr>
          <w:rFonts w:cs="Arial"/>
          <w:szCs w:val="18"/>
        </w:rPr>
        <w:t xml:space="preserve">. PIIC selected and contracted </w:t>
      </w:r>
      <w:r w:rsidR="00911D12">
        <w:rPr>
          <w:rFonts w:cs="Arial"/>
          <w:szCs w:val="18"/>
        </w:rPr>
        <w:t>with Pioneer Power</w:t>
      </w:r>
      <w:r w:rsidR="00B6012A">
        <w:rPr>
          <w:rFonts w:cs="Arial"/>
          <w:szCs w:val="18"/>
        </w:rPr>
        <w:t>, with</w:t>
      </w:r>
      <w:r w:rsidR="00296A69">
        <w:rPr>
          <w:rFonts w:cs="Arial"/>
          <w:szCs w:val="18"/>
        </w:rPr>
        <w:t xml:space="preserve"> </w:t>
      </w:r>
      <w:r w:rsidR="00A01C8B">
        <w:rPr>
          <w:rFonts w:cs="Arial"/>
          <w:szCs w:val="18"/>
        </w:rPr>
        <w:t>design-build</w:t>
      </w:r>
      <w:r w:rsidR="00911D12">
        <w:rPr>
          <w:rFonts w:cs="Arial"/>
          <w:szCs w:val="18"/>
        </w:rPr>
        <w:t xml:space="preserve"> </w:t>
      </w:r>
      <w:r w:rsidR="00B6012A">
        <w:rPr>
          <w:rFonts w:cs="Arial"/>
          <w:szCs w:val="18"/>
        </w:rPr>
        <w:t>work</w:t>
      </w:r>
      <w:r w:rsidR="00296A69">
        <w:rPr>
          <w:rFonts w:cs="Arial"/>
          <w:szCs w:val="18"/>
        </w:rPr>
        <w:t xml:space="preserve"> </w:t>
      </w:r>
      <w:r w:rsidR="00E20334">
        <w:rPr>
          <w:rFonts w:cs="Arial"/>
          <w:szCs w:val="18"/>
        </w:rPr>
        <w:t>underway in</w:t>
      </w:r>
      <w:r w:rsidR="00B6012A">
        <w:rPr>
          <w:rFonts w:cs="Arial"/>
          <w:szCs w:val="18"/>
        </w:rPr>
        <w:t xml:space="preserve"> Phase II</w:t>
      </w:r>
      <w:r w:rsidR="00296A69">
        <w:rPr>
          <w:rFonts w:cs="Arial"/>
          <w:szCs w:val="18"/>
        </w:rPr>
        <w:t xml:space="preserve"> (July 2022)</w:t>
      </w:r>
      <w:r>
        <w:rPr>
          <w:rFonts w:cs="Arial"/>
          <w:szCs w:val="18"/>
        </w:rPr>
        <w:t xml:space="preserve"> a</w:t>
      </w:r>
      <w:r w:rsidR="00B6012A">
        <w:rPr>
          <w:rFonts w:cs="Arial"/>
          <w:szCs w:val="18"/>
        </w:rPr>
        <w:t xml:space="preserve">nd planned to </w:t>
      </w:r>
      <w:r w:rsidR="00296A69">
        <w:rPr>
          <w:rFonts w:cs="Arial"/>
          <w:szCs w:val="18"/>
        </w:rPr>
        <w:t>extend</w:t>
      </w:r>
      <w:r w:rsidR="00B6012A">
        <w:rPr>
          <w:rFonts w:cs="Arial"/>
          <w:szCs w:val="18"/>
        </w:rPr>
        <w:t xml:space="preserve"> through Phase III</w:t>
      </w:r>
      <w:r>
        <w:rPr>
          <w:rFonts w:cs="Arial"/>
          <w:szCs w:val="18"/>
        </w:rPr>
        <w:t>.</w:t>
      </w:r>
      <w:r w:rsidR="00B248C1">
        <w:rPr>
          <w:rFonts w:cs="Arial"/>
          <w:szCs w:val="18"/>
        </w:rPr>
        <w:t xml:space="preserve"> The</w:t>
      </w:r>
      <w:r w:rsidR="00911D12">
        <w:rPr>
          <w:rFonts w:cs="Arial"/>
          <w:szCs w:val="18"/>
        </w:rPr>
        <w:t xml:space="preserve"> electrification</w:t>
      </w:r>
      <w:r w:rsidR="00B248C1">
        <w:rPr>
          <w:rFonts w:cs="Arial"/>
          <w:szCs w:val="18"/>
        </w:rPr>
        <w:t xml:space="preserve"> scope</w:t>
      </w:r>
      <w:r w:rsidR="00D46EC2">
        <w:rPr>
          <w:rFonts w:cs="Arial"/>
          <w:szCs w:val="18"/>
        </w:rPr>
        <w:t xml:space="preserve"> of work</w:t>
      </w:r>
      <w:r w:rsidR="00B248C1">
        <w:rPr>
          <w:rFonts w:cs="Arial"/>
          <w:szCs w:val="18"/>
        </w:rPr>
        <w:t xml:space="preserve"> </w:t>
      </w:r>
      <w:r w:rsidR="00296A69">
        <w:rPr>
          <w:rFonts w:cs="Arial"/>
          <w:szCs w:val="18"/>
        </w:rPr>
        <w:t>comprises</w:t>
      </w:r>
      <w:r w:rsidR="00B248C1">
        <w:rPr>
          <w:rFonts w:cs="Arial"/>
          <w:szCs w:val="18"/>
        </w:rPr>
        <w:t xml:space="preserve"> the </w:t>
      </w:r>
      <w:r w:rsidR="00911D12">
        <w:rPr>
          <w:rFonts w:cs="Arial"/>
          <w:szCs w:val="18"/>
        </w:rPr>
        <w:t>Design-Build</w:t>
      </w:r>
      <w:r w:rsidR="00B248C1">
        <w:rPr>
          <w:rFonts w:cs="Arial"/>
          <w:szCs w:val="18"/>
        </w:rPr>
        <w:t xml:space="preserve"> of a geothermal</w:t>
      </w:r>
      <w:r w:rsidR="00BC58B6">
        <w:rPr>
          <w:rFonts w:cs="Arial"/>
          <w:szCs w:val="18"/>
        </w:rPr>
        <w:t>-based</w:t>
      </w:r>
      <w:r w:rsidR="00B248C1">
        <w:rPr>
          <w:rFonts w:cs="Arial"/>
          <w:szCs w:val="18"/>
        </w:rPr>
        <w:t xml:space="preserve"> heating and cooling system</w:t>
      </w:r>
      <w:r w:rsidR="00296A69">
        <w:rPr>
          <w:rFonts w:cs="Arial"/>
          <w:szCs w:val="18"/>
        </w:rPr>
        <w:t xml:space="preserve"> </w:t>
      </w:r>
      <w:r w:rsidR="00911D12">
        <w:rPr>
          <w:rFonts w:cs="Arial"/>
          <w:szCs w:val="18"/>
        </w:rPr>
        <w:t>to support</w:t>
      </w:r>
      <w:r w:rsidR="00296A69">
        <w:rPr>
          <w:rFonts w:cs="Arial"/>
          <w:szCs w:val="18"/>
        </w:rPr>
        <w:t xml:space="preserve"> PIIC commercial facilities</w:t>
      </w:r>
      <w:r w:rsidR="00B248C1">
        <w:rPr>
          <w:rFonts w:cs="Arial"/>
          <w:szCs w:val="18"/>
        </w:rPr>
        <w:t>.</w:t>
      </w:r>
      <w:r w:rsidR="005C14D0">
        <w:rPr>
          <w:rFonts w:cs="Arial"/>
          <w:szCs w:val="18"/>
        </w:rPr>
        <w:t xml:space="preserve"> </w:t>
      </w:r>
    </w:p>
    <w:p w:rsidR="007B0185" w:rsidP="000C694D">
      <w:pPr>
        <w:pStyle w:val="Caption"/>
      </w:pPr>
      <w:bookmarkStart w:id="7" w:name="_Toc121478260"/>
      <w:r>
        <w:t xml:space="preserve">Table </w:t>
      </w:r>
      <w:r>
        <w:fldChar w:fldCharType="begin"/>
      </w:r>
      <w:r>
        <w:instrText xml:space="preserve"> SEQ Table \* ARABIC </w:instrText>
      </w:r>
      <w:r>
        <w:fldChar w:fldCharType="separate"/>
      </w:r>
      <w:r>
        <w:t>1</w:t>
      </w:r>
      <w:r w:rsidR="0011479F">
        <w:rPr>
          <w:noProof/>
        </w:rPr>
        <w:fldChar w:fldCharType="end"/>
      </w:r>
      <w:r>
        <w:t>. Commercial Electrification Project Costs</w:t>
      </w:r>
      <w:bookmarkEnd w:id="7"/>
    </w:p>
    <w:tbl>
      <w:tblPr>
        <w:tblStyle w:val="TableGrid"/>
        <w:tblW w:w="951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812"/>
        <w:gridCol w:w="1963"/>
        <w:gridCol w:w="3060"/>
        <w:gridCol w:w="2681"/>
      </w:tblGrid>
      <w:tr w:rsidTr="002714F6">
        <w:tblPrEx>
          <w:tblW w:w="951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83"/>
        </w:trPr>
        <w:tc>
          <w:tcPr>
            <w:tcW w:w="1812" w:type="dxa"/>
            <w:shd w:val="clear" w:color="auto" w:fill="D9D9D9" w:themeFill="background1" w:themeFillShade="D9"/>
          </w:tcPr>
          <w:p w:rsidR="00AC63E9" w:rsidRPr="001A012B" w:rsidP="00C54EB1">
            <w:pPr>
              <w:spacing w:before="48" w:beforeLines="20" w:after="48" w:afterLines="20" w:line="240" w:lineRule="auto"/>
              <w:rPr>
                <w:rStyle w:val="DefaultParagraphFont"/>
                <w:rFonts w:ascii="Arial" w:eastAsia="Times New Roman" w:hAnsi="Arial" w:cs="Arial"/>
                <w:b/>
                <w:sz w:val="20"/>
                <w:szCs w:val="22"/>
                <w:lang w:val="en-US" w:eastAsia="en-US" w:bidi="ar-SA"/>
              </w:rPr>
            </w:pPr>
            <w:r w:rsidRPr="001A012B">
              <w:rPr>
                <w:rFonts w:ascii="Arial" w:eastAsia="Times New Roman" w:hAnsi="Arial" w:cs="Arial"/>
                <w:b/>
                <w:sz w:val="20"/>
                <w:szCs w:val="22"/>
                <w:lang w:val="en-US" w:eastAsia="en-US" w:bidi="ar-SA"/>
              </w:rPr>
              <w:t>Company</w:t>
            </w:r>
          </w:p>
        </w:tc>
        <w:tc>
          <w:tcPr>
            <w:tcW w:w="1963" w:type="dxa"/>
            <w:shd w:val="clear" w:color="auto" w:fill="D9D9D9" w:themeFill="background1" w:themeFillShade="D9"/>
          </w:tcPr>
          <w:p w:rsidR="00AC63E9" w:rsidRPr="001A012B" w:rsidP="00C54EB1">
            <w:pPr>
              <w:spacing w:before="48" w:beforeLines="20" w:after="48" w:afterLines="20" w:line="240" w:lineRule="auto"/>
              <w:rPr>
                <w:rStyle w:val="DefaultParagraphFont"/>
                <w:rFonts w:ascii="Arial" w:eastAsia="Times New Roman" w:hAnsi="Arial" w:cs="Arial"/>
                <w:b/>
                <w:sz w:val="20"/>
                <w:szCs w:val="22"/>
                <w:lang w:val="en-US" w:eastAsia="en-US" w:bidi="ar-SA"/>
              </w:rPr>
            </w:pPr>
            <w:r w:rsidRPr="001A012B">
              <w:rPr>
                <w:rFonts w:ascii="Arial" w:eastAsia="Times New Roman" w:hAnsi="Arial" w:cs="Arial"/>
                <w:b/>
                <w:sz w:val="20"/>
                <w:szCs w:val="22"/>
                <w:lang w:val="en-US" w:eastAsia="en-US" w:bidi="ar-SA"/>
              </w:rPr>
              <w:t>Cost Amount</w:t>
            </w:r>
          </w:p>
        </w:tc>
        <w:tc>
          <w:tcPr>
            <w:tcW w:w="3060" w:type="dxa"/>
            <w:shd w:val="clear" w:color="auto" w:fill="D9D9D9" w:themeFill="background1" w:themeFillShade="D9"/>
          </w:tcPr>
          <w:p w:rsidR="00AC63E9" w:rsidRPr="001A012B" w:rsidP="00C54EB1">
            <w:pPr>
              <w:spacing w:before="48" w:beforeLines="20" w:after="48" w:afterLines="20" w:line="240" w:lineRule="auto"/>
              <w:rPr>
                <w:rStyle w:val="DefaultParagraphFont"/>
                <w:rFonts w:ascii="Arial" w:eastAsia="Times New Roman" w:hAnsi="Arial" w:cs="Arial"/>
                <w:b/>
                <w:sz w:val="20"/>
                <w:szCs w:val="22"/>
                <w:lang w:val="en-US" w:eastAsia="en-US" w:bidi="ar-SA"/>
              </w:rPr>
            </w:pPr>
            <w:r w:rsidRPr="001A012B">
              <w:rPr>
                <w:rFonts w:ascii="Arial" w:eastAsia="Times New Roman" w:hAnsi="Arial" w:cs="Arial"/>
                <w:b/>
                <w:sz w:val="20"/>
                <w:szCs w:val="22"/>
                <w:lang w:val="en-US" w:eastAsia="en-US" w:bidi="ar-SA"/>
              </w:rPr>
              <w:t>Cost Source</w:t>
            </w:r>
          </w:p>
        </w:tc>
        <w:tc>
          <w:tcPr>
            <w:tcW w:w="2681" w:type="dxa"/>
            <w:shd w:val="clear" w:color="auto" w:fill="D9D9D9" w:themeFill="background1" w:themeFillShade="D9"/>
          </w:tcPr>
          <w:p w:rsidR="00AC63E9" w:rsidRPr="001A012B" w:rsidP="00C54EB1">
            <w:pPr>
              <w:spacing w:before="48" w:beforeLines="20" w:after="48" w:afterLines="20" w:line="240" w:lineRule="auto"/>
              <w:rPr>
                <w:rStyle w:val="DefaultParagraphFont"/>
                <w:rFonts w:ascii="Arial" w:eastAsia="Times New Roman" w:hAnsi="Arial" w:cs="Arial"/>
                <w:b/>
                <w:sz w:val="20"/>
                <w:szCs w:val="22"/>
                <w:lang w:val="en-US" w:eastAsia="en-US" w:bidi="ar-SA"/>
              </w:rPr>
            </w:pPr>
            <w:r w:rsidRPr="001A012B">
              <w:rPr>
                <w:rFonts w:ascii="Arial" w:eastAsia="Times New Roman" w:hAnsi="Arial" w:cs="Arial"/>
                <w:b/>
                <w:sz w:val="20"/>
                <w:szCs w:val="22"/>
                <w:lang w:val="en-US" w:eastAsia="en-US" w:bidi="ar-SA"/>
              </w:rPr>
              <w:t>Relevant Dates</w:t>
            </w:r>
          </w:p>
        </w:tc>
      </w:tr>
      <w:tr w:rsidTr="002714F6">
        <w:tblPrEx>
          <w:tblW w:w="9516" w:type="dxa"/>
          <w:tblInd w:w="0" w:type="dxa"/>
          <w:tblCellMar>
            <w:top w:w="0" w:type="dxa"/>
            <w:left w:w="108" w:type="dxa"/>
            <w:bottom w:w="0" w:type="dxa"/>
            <w:right w:w="108" w:type="dxa"/>
          </w:tblCellMar>
          <w:tblLook w:val="04A0"/>
        </w:tblPrEx>
        <w:trPr>
          <w:trHeight w:val="201"/>
        </w:trPr>
        <w:tc>
          <w:tcPr>
            <w:tcW w:w="1812" w:type="dxa"/>
            <w:vMerge w:val="restart"/>
          </w:tcPr>
          <w:p w:rsidR="00AC63E9" w:rsidRPr="001A012B" w:rsidP="00C54EB1">
            <w:pPr>
              <w:spacing w:before="48" w:beforeLines="20" w:after="48" w:afterLines="20" w:line="240" w:lineRule="auto"/>
              <w:rPr>
                <w:rStyle w:val="DefaultParagraphFont"/>
                <w:rFonts w:ascii="Arial" w:eastAsia="Times New Roman" w:hAnsi="Arial" w:cs="Arial"/>
                <w:b/>
                <w:sz w:val="20"/>
                <w:szCs w:val="22"/>
                <w:lang w:val="en-US" w:eastAsia="en-US" w:bidi="ar-SA"/>
              </w:rPr>
            </w:pPr>
            <w:r w:rsidRPr="001A012B">
              <w:rPr>
                <w:rFonts w:ascii="Arial" w:eastAsia="Times New Roman" w:hAnsi="Arial" w:cs="Arial"/>
                <w:b/>
                <w:sz w:val="20"/>
                <w:szCs w:val="22"/>
                <w:lang w:val="en-US" w:eastAsia="en-US" w:bidi="ar-SA"/>
              </w:rPr>
              <w:t>Pioneer Power</w:t>
            </w:r>
            <w:r w:rsidR="00AC0E2B">
              <w:rPr>
                <w:rFonts w:ascii="Arial" w:eastAsia="Times New Roman" w:hAnsi="Arial" w:cs="Arial"/>
                <w:b/>
                <w:sz w:val="20"/>
                <w:szCs w:val="22"/>
                <w:lang w:val="en-US" w:eastAsia="en-US" w:bidi="ar-SA"/>
              </w:rPr>
              <w:t xml:space="preserve"> Inc.</w:t>
            </w:r>
          </w:p>
          <w:p w:rsidR="00F24E81" w:rsidRPr="001A012B" w:rsidP="00C54EB1">
            <w:pPr>
              <w:spacing w:before="48" w:beforeLines="20" w:after="48" w:afterLines="20" w:line="240" w:lineRule="auto"/>
              <w:rPr>
                <w:rStyle w:val="DefaultParagraphFont"/>
                <w:rFonts w:ascii="Arial" w:eastAsia="Times New Roman" w:hAnsi="Arial" w:cs="Arial"/>
                <w:i/>
                <w:sz w:val="20"/>
                <w:szCs w:val="22"/>
                <w:lang w:val="en-US" w:eastAsia="en-US" w:bidi="ar-SA"/>
              </w:rPr>
            </w:pPr>
            <w:r>
              <w:rPr>
                <w:rFonts w:ascii="Arial" w:eastAsia="Times New Roman" w:hAnsi="Arial" w:cs="Arial"/>
                <w:i/>
                <w:sz w:val="20"/>
                <w:szCs w:val="22"/>
                <w:lang w:val="en-US" w:eastAsia="en-US" w:bidi="ar-SA"/>
              </w:rPr>
              <w:t>Design-B</w:t>
            </w:r>
            <w:r w:rsidRPr="001A012B">
              <w:rPr>
                <w:rFonts w:ascii="Arial" w:eastAsia="Times New Roman" w:hAnsi="Arial" w:cs="Arial"/>
                <w:i/>
                <w:sz w:val="20"/>
                <w:szCs w:val="22"/>
                <w:lang w:val="en-US" w:eastAsia="en-US" w:bidi="ar-SA"/>
              </w:rPr>
              <w:t>uild Contractor</w:t>
            </w:r>
          </w:p>
        </w:tc>
        <w:tc>
          <w:tcPr>
            <w:tcW w:w="1963" w:type="dxa"/>
          </w:tcPr>
          <w:p w:rsidR="00D46EC2" w:rsidP="00D46EC2">
            <w:pPr>
              <w:spacing w:before="48" w:beforeLines="20" w:after="48" w:afterLines="20" w:line="240" w:lineRule="auto"/>
              <w:jc w:val="right"/>
              <w:rPr>
                <w:rStyle w:val="DefaultParagraphFont"/>
                <w:rFonts w:ascii="Arial" w:eastAsia="Times New Roman" w:hAnsi="Arial" w:cs="Arial"/>
                <w:sz w:val="20"/>
                <w:szCs w:val="22"/>
                <w:lang w:val="en-US" w:eastAsia="en-US" w:bidi="ar-SA"/>
              </w:rPr>
            </w:pPr>
            <w:r>
              <w:rPr>
                <w:rFonts w:ascii="Arial" w:eastAsia="Times New Roman" w:hAnsi="Arial" w:cs="Arial"/>
                <w:sz w:val="20"/>
                <w:szCs w:val="22"/>
                <w:lang w:val="en-US" w:eastAsia="en-US" w:bidi="ar-SA"/>
              </w:rPr>
              <w:t>$675,000.00</w:t>
            </w:r>
          </w:p>
          <w:p w:rsidR="00D46EC2" w:rsidRPr="001A012B" w:rsidP="00D46EC2">
            <w:pPr>
              <w:spacing w:before="48" w:beforeLines="20" w:after="48" w:afterLines="20" w:line="240" w:lineRule="auto"/>
              <w:rPr>
                <w:rStyle w:val="DefaultParagraphFont"/>
                <w:rFonts w:ascii="Arial" w:eastAsia="Times New Roman" w:hAnsi="Arial" w:cs="Arial"/>
                <w:sz w:val="20"/>
                <w:szCs w:val="22"/>
                <w:lang w:val="en-US" w:eastAsia="en-US" w:bidi="ar-SA"/>
              </w:rPr>
            </w:pPr>
          </w:p>
        </w:tc>
        <w:tc>
          <w:tcPr>
            <w:tcW w:w="3060" w:type="dxa"/>
          </w:tcPr>
          <w:p w:rsidR="00AC63E9" w:rsidRPr="001A012B" w:rsidP="00D46EC2">
            <w:pPr>
              <w:spacing w:before="48" w:beforeLines="20" w:after="48" w:afterLines="20" w:line="240" w:lineRule="auto"/>
              <w:rPr>
                <w:rStyle w:val="DefaultParagraphFont"/>
                <w:rFonts w:ascii="Arial" w:eastAsia="Times New Roman" w:hAnsi="Arial" w:cs="Arial"/>
                <w:sz w:val="20"/>
                <w:szCs w:val="22"/>
                <w:lang w:val="en-US" w:eastAsia="en-US" w:bidi="ar-SA"/>
              </w:rPr>
            </w:pPr>
            <w:r w:rsidRPr="001A012B">
              <w:rPr>
                <w:rFonts w:ascii="Arial" w:eastAsia="Times New Roman" w:hAnsi="Arial" w:cs="Arial"/>
                <w:sz w:val="20"/>
                <w:szCs w:val="22"/>
                <w:lang w:val="en-US" w:eastAsia="en-US" w:bidi="ar-SA"/>
              </w:rPr>
              <w:t>Certified Cost - Design-Build Agreement</w:t>
            </w:r>
            <w:r w:rsidR="00D46EC2">
              <w:rPr>
                <w:rFonts w:ascii="Arial" w:eastAsia="Times New Roman" w:hAnsi="Arial" w:cs="Arial"/>
                <w:sz w:val="20"/>
                <w:szCs w:val="22"/>
                <w:lang w:val="en-US" w:eastAsia="en-US" w:bidi="ar-SA"/>
              </w:rPr>
              <w:t xml:space="preserve"> </w:t>
            </w:r>
            <w:r w:rsidRPr="00D46EC2" w:rsidR="00D46EC2">
              <w:rPr>
                <w:rFonts w:ascii="Arial" w:eastAsia="Times New Roman" w:hAnsi="Arial" w:cs="Arial"/>
                <w:i/>
                <w:sz w:val="20"/>
                <w:szCs w:val="22"/>
                <w:lang w:val="en-US" w:eastAsia="en-US" w:bidi="ar-SA"/>
              </w:rPr>
              <w:t>(Design costs)</w:t>
            </w:r>
          </w:p>
        </w:tc>
        <w:tc>
          <w:tcPr>
            <w:tcW w:w="2681" w:type="dxa"/>
          </w:tcPr>
          <w:p w:rsidR="00AC63E9" w:rsidRPr="001A012B" w:rsidP="00C54EB1">
            <w:pPr>
              <w:spacing w:before="48" w:beforeLines="20" w:after="48" w:afterLines="20" w:line="240" w:lineRule="auto"/>
              <w:rPr>
                <w:rStyle w:val="DefaultParagraphFont"/>
                <w:rFonts w:ascii="Arial" w:eastAsia="Times New Roman" w:hAnsi="Arial" w:cs="Arial"/>
                <w:sz w:val="20"/>
                <w:szCs w:val="22"/>
                <w:lang w:val="en-US" w:eastAsia="en-US" w:bidi="ar-SA"/>
              </w:rPr>
            </w:pPr>
            <w:r w:rsidRPr="001A012B">
              <w:rPr>
                <w:rFonts w:ascii="Arial" w:eastAsia="Times New Roman" w:hAnsi="Arial" w:cs="Arial"/>
                <w:sz w:val="20"/>
                <w:szCs w:val="22"/>
                <w:lang w:val="en-US" w:eastAsia="en-US" w:bidi="ar-SA"/>
              </w:rPr>
              <w:t xml:space="preserve">July 2022 – Phase </w:t>
            </w:r>
            <w:r w:rsidR="00B6012A">
              <w:rPr>
                <w:rFonts w:ascii="Arial" w:eastAsia="Times New Roman" w:hAnsi="Arial" w:cs="Arial"/>
                <w:sz w:val="20"/>
                <w:szCs w:val="22"/>
                <w:lang w:val="en-US" w:eastAsia="en-US" w:bidi="ar-SA"/>
              </w:rPr>
              <w:t>III</w:t>
            </w:r>
          </w:p>
        </w:tc>
      </w:tr>
      <w:tr w:rsidTr="002714F6">
        <w:tblPrEx>
          <w:tblW w:w="9516" w:type="dxa"/>
          <w:tblInd w:w="0" w:type="dxa"/>
          <w:tblCellMar>
            <w:top w:w="0" w:type="dxa"/>
            <w:left w:w="108" w:type="dxa"/>
            <w:bottom w:w="0" w:type="dxa"/>
            <w:right w:w="108" w:type="dxa"/>
          </w:tblCellMar>
          <w:tblLook w:val="04A0"/>
        </w:tblPrEx>
        <w:trPr>
          <w:trHeight w:val="770"/>
        </w:trPr>
        <w:tc>
          <w:tcPr>
            <w:tcW w:w="1812" w:type="dxa"/>
            <w:vMerge/>
          </w:tcPr>
          <w:p w:rsidR="00AC63E9" w:rsidRPr="001A012B" w:rsidP="00C54EB1">
            <w:pPr>
              <w:spacing w:before="48" w:beforeLines="20" w:after="48" w:afterLines="20" w:line="240" w:lineRule="auto"/>
              <w:rPr>
                <w:rStyle w:val="DefaultParagraphFont"/>
                <w:rFonts w:ascii="Arial" w:eastAsia="Times New Roman" w:hAnsi="Arial" w:cs="Arial"/>
                <w:b/>
                <w:sz w:val="20"/>
                <w:szCs w:val="22"/>
                <w:lang w:val="en-US" w:eastAsia="en-US" w:bidi="ar-SA"/>
              </w:rPr>
            </w:pPr>
          </w:p>
        </w:tc>
        <w:tc>
          <w:tcPr>
            <w:tcW w:w="1963" w:type="dxa"/>
          </w:tcPr>
          <w:p w:rsidR="00AC63E9" w:rsidRPr="001A012B" w:rsidP="00D46EC2">
            <w:pPr>
              <w:spacing w:before="48" w:beforeLines="20" w:after="48" w:afterLines="20" w:line="240" w:lineRule="auto"/>
              <w:jc w:val="right"/>
              <w:rPr>
                <w:rStyle w:val="DefaultParagraphFont"/>
                <w:rFonts w:ascii="Arial" w:eastAsia="Times New Roman" w:hAnsi="Arial" w:cs="Arial"/>
                <w:sz w:val="20"/>
                <w:szCs w:val="22"/>
                <w:lang w:val="en-US" w:eastAsia="en-US" w:bidi="ar-SA"/>
              </w:rPr>
            </w:pPr>
            <w:r>
              <w:rPr>
                <w:rFonts w:ascii="Arial" w:eastAsia="Times New Roman" w:hAnsi="Arial" w:cs="Arial"/>
                <w:sz w:val="20"/>
                <w:szCs w:val="22"/>
                <w:lang w:val="en-US" w:eastAsia="en-US" w:bidi="ar-SA"/>
              </w:rPr>
              <w:t>$114,660.00</w:t>
            </w:r>
          </w:p>
        </w:tc>
        <w:tc>
          <w:tcPr>
            <w:tcW w:w="3060" w:type="dxa"/>
          </w:tcPr>
          <w:p w:rsidR="00AC63E9" w:rsidRPr="001A012B" w:rsidP="00200F5D">
            <w:pPr>
              <w:spacing w:before="48" w:beforeLines="20" w:after="48" w:afterLines="20" w:line="240" w:lineRule="auto"/>
              <w:rPr>
                <w:rStyle w:val="DefaultParagraphFont"/>
                <w:rFonts w:ascii="Arial" w:eastAsia="Times New Roman" w:hAnsi="Arial" w:cs="Arial"/>
                <w:sz w:val="20"/>
                <w:szCs w:val="22"/>
                <w:lang w:val="en-US" w:eastAsia="en-US" w:bidi="ar-SA"/>
              </w:rPr>
            </w:pPr>
            <w:r w:rsidRPr="001A012B">
              <w:rPr>
                <w:rFonts w:ascii="Arial" w:eastAsia="Times New Roman" w:hAnsi="Arial" w:cs="Arial"/>
                <w:sz w:val="20"/>
                <w:szCs w:val="22"/>
                <w:lang w:val="en-US" w:eastAsia="en-US" w:bidi="ar-SA"/>
              </w:rPr>
              <w:t xml:space="preserve">Certified Cost </w:t>
            </w:r>
            <w:r w:rsidRPr="001A012B" w:rsidR="006A0C44">
              <w:rPr>
                <w:rFonts w:ascii="Arial" w:eastAsia="Times New Roman" w:hAnsi="Arial" w:cs="Arial"/>
                <w:sz w:val="20"/>
                <w:szCs w:val="22"/>
                <w:lang w:val="en-US" w:eastAsia="en-US" w:bidi="ar-SA"/>
              </w:rPr>
              <w:t>–</w:t>
            </w:r>
            <w:r w:rsidRPr="001A012B">
              <w:rPr>
                <w:rFonts w:ascii="Arial" w:eastAsia="Times New Roman" w:hAnsi="Arial" w:cs="Arial"/>
                <w:sz w:val="20"/>
                <w:szCs w:val="22"/>
                <w:lang w:val="en-US" w:eastAsia="en-US" w:bidi="ar-SA"/>
              </w:rPr>
              <w:t xml:space="preserve"> </w:t>
            </w:r>
            <w:r w:rsidRPr="001A012B" w:rsidR="006A0C44">
              <w:rPr>
                <w:rFonts w:ascii="Arial" w:eastAsia="Times New Roman" w:hAnsi="Arial" w:cs="Arial"/>
                <w:sz w:val="20"/>
                <w:szCs w:val="22"/>
                <w:lang w:val="en-US" w:eastAsia="en-US" w:bidi="ar-SA"/>
              </w:rPr>
              <w:t xml:space="preserve">D-B </w:t>
            </w:r>
            <w:r w:rsidRPr="001A012B" w:rsidR="00200F5D">
              <w:rPr>
                <w:rFonts w:ascii="Arial" w:eastAsia="Times New Roman" w:hAnsi="Arial" w:cs="Arial"/>
                <w:sz w:val="20"/>
                <w:szCs w:val="22"/>
                <w:lang w:val="en-US" w:eastAsia="en-US" w:bidi="ar-SA"/>
              </w:rPr>
              <w:t>Change Order 1</w:t>
            </w:r>
          </w:p>
        </w:tc>
        <w:tc>
          <w:tcPr>
            <w:tcW w:w="2681" w:type="dxa"/>
          </w:tcPr>
          <w:p w:rsidR="00AC63E9" w:rsidRPr="001A012B" w:rsidP="00C54EB1">
            <w:pPr>
              <w:spacing w:before="48" w:beforeLines="20" w:after="48" w:afterLines="20" w:line="240" w:lineRule="auto"/>
              <w:rPr>
                <w:rStyle w:val="DefaultParagraphFont"/>
                <w:rFonts w:ascii="Arial" w:eastAsia="Times New Roman" w:hAnsi="Arial" w:cs="Arial"/>
                <w:sz w:val="20"/>
                <w:szCs w:val="22"/>
                <w:lang w:val="en-US" w:eastAsia="en-US" w:bidi="ar-SA"/>
              </w:rPr>
            </w:pPr>
            <w:r w:rsidRPr="001A012B">
              <w:rPr>
                <w:rFonts w:ascii="Arial" w:eastAsia="Times New Roman" w:hAnsi="Arial" w:cs="Arial"/>
                <w:sz w:val="20"/>
                <w:szCs w:val="22"/>
                <w:lang w:val="en-US" w:eastAsia="en-US" w:bidi="ar-SA"/>
              </w:rPr>
              <w:t>July – December 2022</w:t>
            </w:r>
          </w:p>
        </w:tc>
      </w:tr>
      <w:tr w:rsidTr="002714F6">
        <w:tblPrEx>
          <w:tblW w:w="9516" w:type="dxa"/>
          <w:tblInd w:w="0" w:type="dxa"/>
          <w:tblCellMar>
            <w:top w:w="0" w:type="dxa"/>
            <w:left w:w="108" w:type="dxa"/>
            <w:bottom w:w="0" w:type="dxa"/>
            <w:right w:w="108" w:type="dxa"/>
          </w:tblCellMar>
          <w:tblLook w:val="04A0"/>
        </w:tblPrEx>
        <w:trPr>
          <w:trHeight w:val="397"/>
        </w:trPr>
        <w:tc>
          <w:tcPr>
            <w:tcW w:w="1812" w:type="dxa"/>
            <w:vMerge/>
          </w:tcPr>
          <w:p w:rsidR="00AC63E9" w:rsidRPr="001A012B" w:rsidP="00C54EB1">
            <w:pPr>
              <w:spacing w:before="48" w:beforeLines="20" w:after="48" w:afterLines="20" w:line="240" w:lineRule="auto"/>
              <w:rPr>
                <w:rStyle w:val="DefaultParagraphFont"/>
                <w:rFonts w:ascii="Arial" w:eastAsia="Times New Roman" w:hAnsi="Arial" w:cs="Arial"/>
                <w:b/>
                <w:sz w:val="20"/>
                <w:szCs w:val="22"/>
                <w:lang w:val="en-US" w:eastAsia="en-US" w:bidi="ar-SA"/>
              </w:rPr>
            </w:pPr>
          </w:p>
        </w:tc>
        <w:tc>
          <w:tcPr>
            <w:tcW w:w="1963" w:type="dxa"/>
          </w:tcPr>
          <w:p w:rsidR="00AC63E9" w:rsidRPr="001A012B" w:rsidP="00D46EC2">
            <w:pPr>
              <w:spacing w:before="48" w:beforeLines="20" w:after="48" w:afterLines="20" w:line="240" w:lineRule="auto"/>
              <w:jc w:val="right"/>
              <w:rPr>
                <w:rStyle w:val="DefaultParagraphFont"/>
                <w:rFonts w:ascii="Arial" w:eastAsia="Times New Roman" w:hAnsi="Arial" w:cs="Arial"/>
                <w:sz w:val="20"/>
                <w:szCs w:val="22"/>
                <w:lang w:val="en-US" w:eastAsia="en-US" w:bidi="ar-SA"/>
              </w:rPr>
            </w:pPr>
            <w:r>
              <w:rPr>
                <w:rFonts w:ascii="Arial" w:eastAsia="Times New Roman" w:hAnsi="Arial" w:cs="Arial"/>
                <w:sz w:val="20"/>
                <w:szCs w:val="22"/>
                <w:lang w:val="en-US" w:eastAsia="en-US" w:bidi="ar-SA"/>
              </w:rPr>
              <w:t>$</w:t>
            </w:r>
            <w:r w:rsidRPr="00D46EC2">
              <w:rPr>
                <w:rFonts w:ascii="Arial" w:eastAsia="Times New Roman" w:hAnsi="Arial" w:cs="Arial"/>
                <w:sz w:val="20"/>
                <w:szCs w:val="22"/>
                <w:lang w:val="en-US" w:eastAsia="en-US" w:bidi="ar-SA"/>
              </w:rPr>
              <w:t>172</w:t>
            </w:r>
            <w:r>
              <w:rPr>
                <w:rFonts w:ascii="Arial" w:eastAsia="Times New Roman" w:hAnsi="Arial" w:cs="Arial"/>
                <w:sz w:val="20"/>
                <w:szCs w:val="22"/>
                <w:lang w:val="en-US" w:eastAsia="en-US" w:bidi="ar-SA"/>
              </w:rPr>
              <w:t>,</w:t>
            </w:r>
            <w:r w:rsidRPr="00D46EC2">
              <w:rPr>
                <w:rFonts w:ascii="Arial" w:eastAsia="Times New Roman" w:hAnsi="Arial" w:cs="Arial"/>
                <w:sz w:val="20"/>
                <w:szCs w:val="22"/>
                <w:lang w:val="en-US" w:eastAsia="en-US" w:bidi="ar-SA"/>
              </w:rPr>
              <w:t>252.5</w:t>
            </w:r>
            <w:r>
              <w:rPr>
                <w:rFonts w:ascii="Arial" w:eastAsia="Times New Roman" w:hAnsi="Arial" w:cs="Arial"/>
                <w:sz w:val="20"/>
                <w:szCs w:val="22"/>
                <w:lang w:val="en-US" w:eastAsia="en-US" w:bidi="ar-SA"/>
              </w:rPr>
              <w:t>0</w:t>
            </w:r>
          </w:p>
        </w:tc>
        <w:tc>
          <w:tcPr>
            <w:tcW w:w="3060" w:type="dxa"/>
          </w:tcPr>
          <w:p w:rsidR="00AC63E9" w:rsidRPr="001A012B" w:rsidP="00200F5D">
            <w:pPr>
              <w:spacing w:before="48" w:beforeLines="20" w:after="48" w:afterLines="20" w:line="240" w:lineRule="auto"/>
              <w:rPr>
                <w:rStyle w:val="DefaultParagraphFont"/>
                <w:rFonts w:ascii="Arial" w:eastAsia="Times New Roman" w:hAnsi="Arial" w:cs="Arial"/>
                <w:sz w:val="20"/>
                <w:szCs w:val="22"/>
                <w:lang w:val="en-US" w:eastAsia="en-US" w:bidi="ar-SA"/>
              </w:rPr>
            </w:pPr>
            <w:r w:rsidRPr="001A012B">
              <w:rPr>
                <w:rFonts w:ascii="Arial" w:eastAsia="Times New Roman" w:hAnsi="Arial" w:cs="Arial"/>
                <w:sz w:val="20"/>
                <w:szCs w:val="22"/>
                <w:lang w:val="en-US" w:eastAsia="en-US" w:bidi="ar-SA"/>
              </w:rPr>
              <w:t xml:space="preserve">Certified Cost </w:t>
            </w:r>
            <w:r w:rsidRPr="001A012B" w:rsidR="006A0C44">
              <w:rPr>
                <w:rFonts w:ascii="Arial" w:eastAsia="Times New Roman" w:hAnsi="Arial" w:cs="Arial"/>
                <w:sz w:val="20"/>
                <w:szCs w:val="22"/>
                <w:lang w:val="en-US" w:eastAsia="en-US" w:bidi="ar-SA"/>
              </w:rPr>
              <w:t>–</w:t>
            </w:r>
            <w:r w:rsidRPr="001A012B">
              <w:rPr>
                <w:rFonts w:ascii="Arial" w:eastAsia="Times New Roman" w:hAnsi="Arial" w:cs="Arial"/>
                <w:sz w:val="20"/>
                <w:szCs w:val="22"/>
                <w:lang w:val="en-US" w:eastAsia="en-US" w:bidi="ar-SA"/>
              </w:rPr>
              <w:t xml:space="preserve"> </w:t>
            </w:r>
            <w:r w:rsidRPr="001A012B" w:rsidR="006A0C44">
              <w:rPr>
                <w:rFonts w:ascii="Arial" w:eastAsia="Times New Roman" w:hAnsi="Arial" w:cs="Arial"/>
                <w:sz w:val="20"/>
                <w:szCs w:val="22"/>
                <w:lang w:val="en-US" w:eastAsia="en-US" w:bidi="ar-SA"/>
              </w:rPr>
              <w:t xml:space="preserve">D-B </w:t>
            </w:r>
            <w:r w:rsidRPr="001A012B" w:rsidR="00200F5D">
              <w:rPr>
                <w:rFonts w:ascii="Arial" w:eastAsia="Times New Roman" w:hAnsi="Arial" w:cs="Arial"/>
                <w:sz w:val="20"/>
                <w:szCs w:val="22"/>
                <w:lang w:val="en-US" w:eastAsia="en-US" w:bidi="ar-SA"/>
              </w:rPr>
              <w:t>Change Order</w:t>
            </w:r>
            <w:r w:rsidRPr="001A012B">
              <w:rPr>
                <w:rFonts w:ascii="Arial" w:eastAsia="Times New Roman" w:hAnsi="Arial" w:cs="Arial"/>
                <w:sz w:val="20"/>
                <w:szCs w:val="22"/>
                <w:lang w:val="en-US" w:eastAsia="en-US" w:bidi="ar-SA"/>
              </w:rPr>
              <w:t xml:space="preserve"> 2 </w:t>
            </w:r>
          </w:p>
        </w:tc>
        <w:tc>
          <w:tcPr>
            <w:tcW w:w="2681" w:type="dxa"/>
          </w:tcPr>
          <w:p w:rsidR="00AC63E9" w:rsidRPr="001A012B" w:rsidP="00C54EB1">
            <w:pPr>
              <w:spacing w:before="48" w:beforeLines="20" w:after="48" w:afterLines="20" w:line="240" w:lineRule="auto"/>
              <w:rPr>
                <w:rStyle w:val="DefaultParagraphFont"/>
                <w:rFonts w:ascii="Arial" w:eastAsia="Times New Roman" w:hAnsi="Arial" w:cs="Arial"/>
                <w:sz w:val="20"/>
                <w:szCs w:val="22"/>
                <w:lang w:val="en-US" w:eastAsia="en-US" w:bidi="ar-SA"/>
              </w:rPr>
            </w:pPr>
            <w:r w:rsidRPr="001A012B">
              <w:rPr>
                <w:rFonts w:ascii="Arial" w:eastAsia="Times New Roman" w:hAnsi="Arial" w:cs="Arial"/>
                <w:sz w:val="20"/>
                <w:szCs w:val="22"/>
                <w:lang w:val="en-US" w:eastAsia="en-US" w:bidi="ar-SA"/>
              </w:rPr>
              <w:t>July – December 2022</w:t>
            </w:r>
          </w:p>
        </w:tc>
      </w:tr>
      <w:tr w:rsidTr="002714F6">
        <w:tblPrEx>
          <w:tblW w:w="9516" w:type="dxa"/>
          <w:tblInd w:w="0" w:type="dxa"/>
          <w:tblCellMar>
            <w:top w:w="0" w:type="dxa"/>
            <w:left w:w="108" w:type="dxa"/>
            <w:bottom w:w="0" w:type="dxa"/>
            <w:right w:w="108" w:type="dxa"/>
          </w:tblCellMar>
          <w:tblLook w:val="04A0"/>
        </w:tblPrEx>
        <w:trPr>
          <w:trHeight w:val="397"/>
        </w:trPr>
        <w:tc>
          <w:tcPr>
            <w:tcW w:w="1812" w:type="dxa"/>
            <w:vMerge/>
          </w:tcPr>
          <w:p w:rsidR="00200F5D" w:rsidRPr="001A012B" w:rsidP="00C54EB1">
            <w:pPr>
              <w:spacing w:before="48" w:beforeLines="20" w:after="48" w:afterLines="20" w:line="240" w:lineRule="auto"/>
              <w:rPr>
                <w:rStyle w:val="DefaultParagraphFont"/>
                <w:rFonts w:ascii="Arial" w:eastAsia="Times New Roman" w:hAnsi="Arial" w:cs="Arial"/>
                <w:b/>
                <w:sz w:val="20"/>
                <w:szCs w:val="22"/>
                <w:lang w:val="en-US" w:eastAsia="en-US" w:bidi="ar-SA"/>
              </w:rPr>
            </w:pPr>
          </w:p>
        </w:tc>
        <w:tc>
          <w:tcPr>
            <w:tcW w:w="1963" w:type="dxa"/>
          </w:tcPr>
          <w:p w:rsidR="00200F5D" w:rsidRPr="002636E3" w:rsidP="00B750AA">
            <w:pPr>
              <w:spacing w:before="48" w:beforeLines="20" w:after="48" w:afterLines="20" w:line="240" w:lineRule="auto"/>
              <w:jc w:val="right"/>
              <w:rPr>
                <w:rStyle w:val="DefaultParagraphFont"/>
                <w:rFonts w:ascii="Arial" w:eastAsia="Times New Roman" w:hAnsi="Arial" w:cs="Arial"/>
                <w:sz w:val="20"/>
                <w:szCs w:val="22"/>
                <w:highlight w:val="yellow"/>
                <w:lang w:val="en-US" w:eastAsia="en-US" w:bidi="ar-SA"/>
              </w:rPr>
            </w:pPr>
            <w:r>
              <w:rPr>
                <w:rFonts w:ascii="Arial" w:eastAsia="Times New Roman" w:hAnsi="Arial" w:cs="Arial"/>
                <w:sz w:val="20"/>
                <w:szCs w:val="22"/>
                <w:lang w:val="en-US" w:eastAsia="en-US" w:bidi="ar-SA"/>
              </w:rPr>
              <w:t>$25,80</w:t>
            </w:r>
            <w:r w:rsidR="00B750AA">
              <w:rPr>
                <w:rFonts w:ascii="Arial" w:eastAsia="Times New Roman" w:hAnsi="Arial" w:cs="Arial"/>
                <w:sz w:val="20"/>
                <w:szCs w:val="22"/>
                <w:lang w:val="en-US" w:eastAsia="en-US" w:bidi="ar-SA"/>
              </w:rPr>
              <w:t>1</w:t>
            </w:r>
            <w:r w:rsidRPr="000115F6" w:rsidR="000115F6">
              <w:rPr>
                <w:rFonts w:ascii="Arial" w:eastAsia="Times New Roman" w:hAnsi="Arial" w:cs="Arial"/>
                <w:sz w:val="20"/>
                <w:szCs w:val="22"/>
                <w:lang w:val="en-US" w:eastAsia="en-US" w:bidi="ar-SA"/>
              </w:rPr>
              <w:t>,</w:t>
            </w:r>
            <w:r w:rsidR="00B750AA">
              <w:rPr>
                <w:rFonts w:ascii="Arial" w:eastAsia="Times New Roman" w:hAnsi="Arial" w:cs="Arial"/>
                <w:sz w:val="20"/>
                <w:szCs w:val="22"/>
                <w:lang w:val="en-US" w:eastAsia="en-US" w:bidi="ar-SA"/>
              </w:rPr>
              <w:t>292.65</w:t>
            </w:r>
          </w:p>
        </w:tc>
        <w:tc>
          <w:tcPr>
            <w:tcW w:w="3060" w:type="dxa"/>
            <w:tcBorders>
              <w:bottom w:val="single" w:sz="4" w:space="0" w:color="auto"/>
            </w:tcBorders>
          </w:tcPr>
          <w:p w:rsidR="00200F5D" w:rsidRPr="001A012B" w:rsidP="00200F5D">
            <w:pPr>
              <w:spacing w:before="48" w:beforeLines="20" w:after="48" w:afterLines="20" w:line="240" w:lineRule="auto"/>
              <w:rPr>
                <w:rStyle w:val="DefaultParagraphFont"/>
                <w:rFonts w:ascii="Arial" w:eastAsia="Times New Roman" w:hAnsi="Arial" w:cs="Arial"/>
                <w:sz w:val="20"/>
                <w:szCs w:val="22"/>
                <w:lang w:val="en-US" w:eastAsia="en-US" w:bidi="ar-SA"/>
              </w:rPr>
            </w:pPr>
            <w:r w:rsidRPr="001A012B">
              <w:rPr>
                <w:rFonts w:ascii="Arial" w:eastAsia="Times New Roman" w:hAnsi="Arial" w:cs="Arial"/>
                <w:sz w:val="20"/>
                <w:szCs w:val="22"/>
                <w:lang w:val="en-US" w:eastAsia="en-US" w:bidi="ar-SA"/>
              </w:rPr>
              <w:t>Certified Cost – D-B Amendment</w:t>
            </w:r>
            <w:r w:rsidR="00D46EC2">
              <w:rPr>
                <w:rFonts w:ascii="Arial" w:eastAsia="Times New Roman" w:hAnsi="Arial" w:cs="Arial"/>
                <w:sz w:val="20"/>
                <w:szCs w:val="22"/>
                <w:lang w:val="en-US" w:eastAsia="en-US" w:bidi="ar-SA"/>
              </w:rPr>
              <w:t xml:space="preserve"> </w:t>
            </w:r>
            <w:r w:rsidRPr="00D46EC2" w:rsidR="00D46EC2">
              <w:rPr>
                <w:rFonts w:ascii="Arial" w:eastAsia="Times New Roman" w:hAnsi="Arial" w:cs="Arial"/>
                <w:i/>
                <w:sz w:val="20"/>
                <w:szCs w:val="22"/>
                <w:lang w:val="en-US" w:eastAsia="en-US" w:bidi="ar-SA"/>
              </w:rPr>
              <w:t>(Build costs)</w:t>
            </w:r>
          </w:p>
        </w:tc>
        <w:tc>
          <w:tcPr>
            <w:tcW w:w="2681" w:type="dxa"/>
            <w:tcBorders>
              <w:bottom w:val="single" w:sz="4" w:space="0" w:color="auto"/>
            </w:tcBorders>
          </w:tcPr>
          <w:p w:rsidR="00200F5D" w:rsidRPr="001A012B" w:rsidP="00C54EB1">
            <w:pPr>
              <w:spacing w:before="48" w:beforeLines="20" w:after="48" w:afterLines="20" w:line="240" w:lineRule="auto"/>
              <w:rPr>
                <w:rStyle w:val="DefaultParagraphFont"/>
                <w:rFonts w:ascii="Arial" w:eastAsia="Times New Roman" w:hAnsi="Arial" w:cs="Arial"/>
                <w:sz w:val="20"/>
                <w:szCs w:val="22"/>
                <w:lang w:val="en-US" w:eastAsia="en-US" w:bidi="ar-SA"/>
              </w:rPr>
            </w:pPr>
            <w:r w:rsidRPr="001A012B">
              <w:rPr>
                <w:rFonts w:ascii="Arial" w:eastAsia="Times New Roman" w:hAnsi="Arial" w:cs="Arial"/>
                <w:sz w:val="20"/>
                <w:szCs w:val="22"/>
                <w:lang w:val="en-US" w:eastAsia="en-US" w:bidi="ar-SA"/>
              </w:rPr>
              <w:t xml:space="preserve">December 2022 – Phase </w:t>
            </w:r>
            <w:r w:rsidR="00B6012A">
              <w:rPr>
                <w:rFonts w:ascii="Arial" w:eastAsia="Times New Roman" w:hAnsi="Arial" w:cs="Arial"/>
                <w:sz w:val="20"/>
                <w:szCs w:val="22"/>
                <w:lang w:val="en-US" w:eastAsia="en-US" w:bidi="ar-SA"/>
              </w:rPr>
              <w:t>III</w:t>
            </w:r>
          </w:p>
        </w:tc>
      </w:tr>
      <w:tr w:rsidTr="002714F6">
        <w:tblPrEx>
          <w:tblW w:w="9516" w:type="dxa"/>
          <w:tblInd w:w="0" w:type="dxa"/>
          <w:tblCellMar>
            <w:top w:w="0" w:type="dxa"/>
            <w:left w:w="108" w:type="dxa"/>
            <w:bottom w:w="0" w:type="dxa"/>
            <w:right w:w="108" w:type="dxa"/>
          </w:tblCellMar>
          <w:tblLook w:val="04A0"/>
        </w:tblPrEx>
        <w:trPr>
          <w:trHeight w:val="397"/>
        </w:trPr>
        <w:tc>
          <w:tcPr>
            <w:tcW w:w="1812" w:type="dxa"/>
            <w:shd w:val="clear" w:color="auto" w:fill="D9D9D9" w:themeFill="background1" w:themeFillShade="D9"/>
          </w:tcPr>
          <w:p w:rsidR="00D46EC2" w:rsidRPr="001A012B" w:rsidP="00C54EB1">
            <w:pPr>
              <w:spacing w:before="48" w:beforeLines="20" w:after="48" w:afterLines="20" w:line="240" w:lineRule="auto"/>
              <w:rPr>
                <w:rStyle w:val="DefaultParagraphFont"/>
                <w:rFonts w:ascii="Arial" w:eastAsia="Times New Roman" w:hAnsi="Arial" w:cs="Arial"/>
                <w:b/>
                <w:sz w:val="20"/>
                <w:szCs w:val="22"/>
                <w:lang w:val="en-US" w:eastAsia="en-US" w:bidi="ar-SA"/>
              </w:rPr>
            </w:pPr>
            <w:r>
              <w:rPr>
                <w:rFonts w:ascii="Arial" w:eastAsia="Times New Roman" w:hAnsi="Arial" w:cs="Arial"/>
                <w:b/>
                <w:sz w:val="20"/>
                <w:szCs w:val="22"/>
                <w:lang w:val="en-US" w:eastAsia="en-US" w:bidi="ar-SA"/>
              </w:rPr>
              <w:t>TOTAL</w:t>
            </w:r>
          </w:p>
        </w:tc>
        <w:tc>
          <w:tcPr>
            <w:tcW w:w="1963" w:type="dxa"/>
            <w:tcBorders>
              <w:right w:val="single" w:sz="4" w:space="0" w:color="auto"/>
            </w:tcBorders>
            <w:shd w:val="clear" w:color="auto" w:fill="D9D9D9" w:themeFill="background1" w:themeFillShade="D9"/>
          </w:tcPr>
          <w:p w:rsidR="00D46EC2" w:rsidRPr="00D46EC2" w:rsidP="00B750AA">
            <w:pPr>
              <w:spacing w:before="48" w:beforeLines="20" w:after="48" w:afterLines="20" w:line="240" w:lineRule="auto"/>
              <w:jc w:val="right"/>
              <w:rPr>
                <w:rStyle w:val="DefaultParagraphFont"/>
                <w:rFonts w:ascii="Arial" w:eastAsia="Times New Roman" w:hAnsi="Arial" w:cs="Arial"/>
                <w:sz w:val="20"/>
                <w:szCs w:val="22"/>
                <w:highlight w:val="yellow"/>
                <w:lang w:val="en-US" w:eastAsia="en-US" w:bidi="ar-SA"/>
              </w:rPr>
            </w:pPr>
            <w:r>
              <w:rPr>
                <w:rFonts w:ascii="Arial" w:eastAsia="Times New Roman" w:hAnsi="Arial" w:cs="Arial"/>
                <w:sz w:val="20"/>
                <w:szCs w:val="22"/>
                <w:lang w:val="en-US" w:eastAsia="en-US" w:bidi="ar-SA"/>
              </w:rPr>
              <w:t>$26,763</w:t>
            </w:r>
            <w:r w:rsidRPr="002714F6" w:rsidR="002714F6">
              <w:rPr>
                <w:rFonts w:ascii="Arial" w:eastAsia="Times New Roman" w:hAnsi="Arial" w:cs="Arial"/>
                <w:sz w:val="20"/>
                <w:szCs w:val="22"/>
                <w:lang w:val="en-US" w:eastAsia="en-US" w:bidi="ar-SA"/>
              </w:rPr>
              <w:t>,</w:t>
            </w:r>
            <w:r>
              <w:rPr>
                <w:rFonts w:ascii="Arial" w:eastAsia="Times New Roman" w:hAnsi="Arial" w:cs="Arial"/>
                <w:sz w:val="20"/>
                <w:szCs w:val="22"/>
                <w:lang w:val="en-US" w:eastAsia="en-US" w:bidi="ar-SA"/>
              </w:rPr>
              <w:t>205.15</w:t>
            </w:r>
          </w:p>
        </w:tc>
        <w:tc>
          <w:tcPr>
            <w:tcW w:w="3060" w:type="dxa"/>
            <w:tcBorders>
              <w:top w:val="single" w:sz="4" w:space="0" w:color="auto"/>
              <w:left w:val="single" w:sz="4" w:space="0" w:color="auto"/>
              <w:bottom w:val="nil"/>
              <w:right w:val="nil"/>
            </w:tcBorders>
          </w:tcPr>
          <w:p w:rsidR="00D46EC2" w:rsidRPr="001A012B" w:rsidP="00C54EB1">
            <w:pPr>
              <w:spacing w:before="48" w:beforeLines="20" w:after="48" w:afterLines="20" w:line="240" w:lineRule="auto"/>
              <w:rPr>
                <w:rStyle w:val="DefaultParagraphFont"/>
                <w:rFonts w:ascii="Arial" w:eastAsia="Times New Roman" w:hAnsi="Arial" w:cs="Arial"/>
                <w:sz w:val="20"/>
                <w:szCs w:val="22"/>
                <w:lang w:val="en-US" w:eastAsia="en-US" w:bidi="ar-SA"/>
              </w:rPr>
            </w:pPr>
          </w:p>
        </w:tc>
        <w:tc>
          <w:tcPr>
            <w:tcW w:w="2681" w:type="dxa"/>
            <w:tcBorders>
              <w:top w:val="single" w:sz="4" w:space="0" w:color="auto"/>
              <w:left w:val="nil"/>
              <w:bottom w:val="nil"/>
              <w:right w:val="nil"/>
            </w:tcBorders>
          </w:tcPr>
          <w:p w:rsidR="00D46EC2" w:rsidRPr="001A012B" w:rsidP="00C54EB1">
            <w:pPr>
              <w:spacing w:before="48" w:beforeLines="20" w:after="48" w:afterLines="20" w:line="240" w:lineRule="auto"/>
              <w:rPr>
                <w:rStyle w:val="DefaultParagraphFont"/>
                <w:rFonts w:ascii="Arial" w:eastAsia="Times New Roman" w:hAnsi="Arial" w:cs="Arial"/>
                <w:sz w:val="20"/>
                <w:szCs w:val="22"/>
                <w:lang w:val="en-US" w:eastAsia="en-US" w:bidi="ar-SA"/>
              </w:rPr>
            </w:pPr>
          </w:p>
        </w:tc>
      </w:tr>
    </w:tbl>
    <w:p w:rsidR="00350340" w:rsidRPr="00350340" w:rsidP="00C54EB1">
      <w:pPr>
        <w:spacing w:before="48" w:beforeLines="20" w:after="48" w:afterLines="20" w:line="240" w:lineRule="auto"/>
        <w:rPr>
          <w:rFonts w:ascii="Calibri" w:eastAsia="Times New Roman" w:hAnsi="Calibri" w:cs="Calibri"/>
        </w:rPr>
      </w:pPr>
      <w:r w:rsidRPr="00350340">
        <w:rPr>
          <w:rFonts w:ascii="Calibri" w:eastAsia="Times New Roman" w:hAnsi="Calibri" w:cs="Calibri"/>
        </w:rPr>
        <w:t> </w:t>
      </w:r>
    </w:p>
    <w:p w:rsidR="00350340" w:rsidRPr="00200F5D" w:rsidP="00200F5D">
      <w:pPr>
        <w:pStyle w:val="Heading2"/>
      </w:pPr>
      <w:bookmarkStart w:id="8" w:name="_Toc121478249"/>
      <w:r>
        <w:rPr>
          <w:rStyle w:val="Heading2Char"/>
          <w:b/>
        </w:rPr>
        <w:t>2.2</w:t>
      </w:r>
      <w:r w:rsidRPr="00200F5D" w:rsidR="00200F5D">
        <w:rPr>
          <w:rStyle w:val="Heading2Char"/>
          <w:b/>
        </w:rPr>
        <w:t>. Commercial Solar Renewable Energy Project</w:t>
      </w:r>
      <w:bookmarkEnd w:id="8"/>
    </w:p>
    <w:p w:rsidR="00F41C44" w:rsidRPr="00F41C44" w:rsidP="00F41C44">
      <w:pPr>
        <w:spacing w:before="48" w:beforeLines="20" w:after="48" w:afterLines="20" w:line="240" w:lineRule="auto"/>
        <w:rPr>
          <w:rFonts w:cs="Arial"/>
          <w:szCs w:val="18"/>
        </w:rPr>
      </w:pPr>
      <w:r>
        <w:rPr>
          <w:rFonts w:cs="Arial"/>
          <w:szCs w:val="18"/>
        </w:rPr>
        <w:t>Development of a</w:t>
      </w:r>
      <w:r w:rsidRPr="00F41C44" w:rsidR="005C14D0">
        <w:rPr>
          <w:rFonts w:cs="Arial"/>
          <w:szCs w:val="18"/>
        </w:rPr>
        <w:t xml:space="preserve"> commercial solar project on </w:t>
      </w:r>
      <w:r w:rsidR="00911D12">
        <w:rPr>
          <w:rFonts w:cs="Arial"/>
          <w:szCs w:val="18"/>
        </w:rPr>
        <w:t xml:space="preserve">PIIC </w:t>
      </w:r>
      <w:r w:rsidRPr="00F41C44" w:rsidR="005C14D0">
        <w:rPr>
          <w:rFonts w:cs="Arial"/>
          <w:szCs w:val="18"/>
        </w:rPr>
        <w:t>tribal land will provide renewable energy for community use</w:t>
      </w:r>
      <w:r>
        <w:rPr>
          <w:rFonts w:cs="Arial"/>
          <w:szCs w:val="18"/>
        </w:rPr>
        <w:t xml:space="preserve"> and revenue through a Power Purchase Agreement</w:t>
      </w:r>
      <w:r w:rsidR="00911D12">
        <w:rPr>
          <w:rFonts w:cs="Arial"/>
          <w:szCs w:val="18"/>
        </w:rPr>
        <w:t xml:space="preserve"> (</w:t>
      </w:r>
      <w:r w:rsidR="0092390D">
        <w:rPr>
          <w:rFonts w:cs="Arial"/>
          <w:szCs w:val="18"/>
        </w:rPr>
        <w:t>“</w:t>
      </w:r>
      <w:r w:rsidR="00911D12">
        <w:rPr>
          <w:rFonts w:cs="Arial"/>
          <w:szCs w:val="18"/>
        </w:rPr>
        <w:t>PPA</w:t>
      </w:r>
      <w:r w:rsidR="0092390D">
        <w:rPr>
          <w:rFonts w:cs="Arial"/>
          <w:szCs w:val="18"/>
        </w:rPr>
        <w:t>”</w:t>
      </w:r>
      <w:r w:rsidR="00911D12">
        <w:rPr>
          <w:rFonts w:cs="Arial"/>
          <w:szCs w:val="18"/>
        </w:rPr>
        <w:t>)</w:t>
      </w:r>
      <w:r>
        <w:rPr>
          <w:rFonts w:cs="Arial"/>
          <w:szCs w:val="18"/>
        </w:rPr>
        <w:t xml:space="preserve"> to help financially sustain the Net Zero Project over time</w:t>
      </w:r>
      <w:r w:rsidRPr="00F41C44" w:rsidR="005C14D0">
        <w:rPr>
          <w:rFonts w:cs="Arial"/>
          <w:szCs w:val="18"/>
        </w:rPr>
        <w:t xml:space="preserve">. </w:t>
      </w:r>
      <w:r w:rsidR="005C14D0">
        <w:rPr>
          <w:rFonts w:cs="Arial"/>
          <w:szCs w:val="18"/>
        </w:rPr>
        <w:t xml:space="preserve">PIIC facilitated an RFP process </w:t>
      </w:r>
      <w:r w:rsidR="00911D12">
        <w:rPr>
          <w:rFonts w:cs="Arial"/>
          <w:szCs w:val="18"/>
        </w:rPr>
        <w:t xml:space="preserve">in early 2022 </w:t>
      </w:r>
      <w:r w:rsidR="005C14D0">
        <w:rPr>
          <w:rFonts w:cs="Arial"/>
          <w:szCs w:val="18"/>
        </w:rPr>
        <w:t xml:space="preserve">through which </w:t>
      </w:r>
      <w:r>
        <w:rPr>
          <w:rFonts w:cs="Arial"/>
          <w:szCs w:val="18"/>
        </w:rPr>
        <w:t xml:space="preserve">PIIC </w:t>
      </w:r>
      <w:r w:rsidR="00EA47C0">
        <w:rPr>
          <w:rFonts w:cs="Arial"/>
          <w:szCs w:val="18"/>
        </w:rPr>
        <w:t xml:space="preserve">received </w:t>
      </w:r>
      <w:r w:rsidR="005C14D0">
        <w:rPr>
          <w:rFonts w:cs="Arial"/>
          <w:szCs w:val="18"/>
        </w:rPr>
        <w:t xml:space="preserve">three bids for contractor teams to </w:t>
      </w:r>
      <w:r>
        <w:rPr>
          <w:rFonts w:cs="Arial"/>
          <w:szCs w:val="18"/>
        </w:rPr>
        <w:t>engineer, procure, and construct</w:t>
      </w:r>
      <w:r>
        <w:rPr>
          <w:rFonts w:cs="Arial"/>
          <w:szCs w:val="18"/>
        </w:rPr>
        <w:t xml:space="preserve"> (</w:t>
      </w:r>
      <w:r w:rsidR="0092390D">
        <w:rPr>
          <w:rFonts w:cs="Arial"/>
          <w:szCs w:val="18"/>
        </w:rPr>
        <w:t>“</w:t>
      </w:r>
      <w:r>
        <w:rPr>
          <w:rFonts w:cs="Arial"/>
          <w:szCs w:val="18"/>
        </w:rPr>
        <w:t>EPC</w:t>
      </w:r>
      <w:r w:rsidR="0092390D">
        <w:rPr>
          <w:rFonts w:cs="Arial"/>
          <w:szCs w:val="18"/>
        </w:rPr>
        <w:t>”</w:t>
      </w:r>
      <w:r>
        <w:rPr>
          <w:rFonts w:cs="Arial"/>
          <w:szCs w:val="18"/>
        </w:rPr>
        <w:t>)</w:t>
      </w:r>
      <w:r w:rsidR="005C14D0">
        <w:rPr>
          <w:rFonts w:cs="Arial"/>
          <w:szCs w:val="18"/>
        </w:rPr>
        <w:t xml:space="preserve"> </w:t>
      </w:r>
      <w:r>
        <w:rPr>
          <w:rFonts w:cs="Arial"/>
          <w:szCs w:val="18"/>
        </w:rPr>
        <w:t>the solar</w:t>
      </w:r>
      <w:r w:rsidR="005C14D0">
        <w:rPr>
          <w:rFonts w:cs="Arial"/>
          <w:szCs w:val="18"/>
        </w:rPr>
        <w:t xml:space="preserve"> project.</w:t>
      </w:r>
      <w:r w:rsidRPr="00F41C44">
        <w:rPr>
          <w:rFonts w:cs="Arial"/>
          <w:szCs w:val="18"/>
        </w:rPr>
        <w:t xml:space="preserve"> </w:t>
      </w:r>
      <w:r>
        <w:rPr>
          <w:rFonts w:cs="Arial"/>
          <w:szCs w:val="18"/>
        </w:rPr>
        <w:t xml:space="preserve">PIIC selected and contracted with Knobelsdorff </w:t>
      </w:r>
      <w:r w:rsidR="00911D12">
        <w:rPr>
          <w:rFonts w:cs="Arial"/>
          <w:szCs w:val="18"/>
        </w:rPr>
        <w:t>Enterprises</w:t>
      </w:r>
      <w:r w:rsidR="00EA47C0">
        <w:rPr>
          <w:rFonts w:cs="Arial"/>
          <w:szCs w:val="18"/>
        </w:rPr>
        <w:t>, with</w:t>
      </w:r>
      <w:r>
        <w:rPr>
          <w:rFonts w:cs="Arial"/>
          <w:szCs w:val="18"/>
        </w:rPr>
        <w:t xml:space="preserve"> EPC</w:t>
      </w:r>
      <w:r w:rsidR="00EA47C0">
        <w:rPr>
          <w:rFonts w:cs="Arial"/>
          <w:szCs w:val="18"/>
        </w:rPr>
        <w:t xml:space="preserve"> work </w:t>
      </w:r>
      <w:r>
        <w:rPr>
          <w:rFonts w:cs="Arial"/>
          <w:szCs w:val="18"/>
        </w:rPr>
        <w:t>underway</w:t>
      </w:r>
      <w:r w:rsidR="00EA47C0">
        <w:rPr>
          <w:rFonts w:cs="Arial"/>
          <w:szCs w:val="18"/>
        </w:rPr>
        <w:t xml:space="preserve"> </w:t>
      </w:r>
      <w:r>
        <w:rPr>
          <w:rFonts w:cs="Arial"/>
          <w:szCs w:val="18"/>
        </w:rPr>
        <w:t xml:space="preserve">in </w:t>
      </w:r>
      <w:r w:rsidR="00EA47C0">
        <w:rPr>
          <w:rFonts w:cs="Arial"/>
          <w:szCs w:val="18"/>
        </w:rPr>
        <w:t>Phase II</w:t>
      </w:r>
      <w:r>
        <w:rPr>
          <w:rFonts w:cs="Arial"/>
          <w:szCs w:val="18"/>
        </w:rPr>
        <w:t xml:space="preserve"> a</w:t>
      </w:r>
      <w:r w:rsidR="00EA47C0">
        <w:rPr>
          <w:rFonts w:cs="Arial"/>
          <w:szCs w:val="18"/>
        </w:rPr>
        <w:t>nd planned to extend through Phase III</w:t>
      </w:r>
      <w:r>
        <w:rPr>
          <w:rFonts w:cs="Arial"/>
          <w:szCs w:val="18"/>
        </w:rPr>
        <w:t>.</w:t>
      </w:r>
      <w:r w:rsidR="00911D12">
        <w:rPr>
          <w:rFonts w:cs="Arial"/>
          <w:szCs w:val="18"/>
        </w:rPr>
        <w:t xml:space="preserve"> Additionally, PIIC is contracted to cover solar interconnection costs from Dakota Electric Association and PPA-related security fund costs from Great River Energy.</w:t>
      </w:r>
    </w:p>
    <w:p w:rsidR="00F41C44" w:rsidP="000C694D">
      <w:pPr>
        <w:pStyle w:val="Caption"/>
        <w:keepNext/>
      </w:pPr>
      <w:bookmarkStart w:id="9" w:name="_Toc121478261"/>
      <w:r>
        <w:t xml:space="preserve">Table </w:t>
      </w:r>
      <w:r>
        <w:fldChar w:fldCharType="begin"/>
      </w:r>
      <w:r>
        <w:instrText xml:space="preserve"> SEQ Table \* ARABIC </w:instrText>
      </w:r>
      <w:r>
        <w:fldChar w:fldCharType="separate"/>
      </w:r>
      <w:r>
        <w:t>2</w:t>
      </w:r>
      <w:r w:rsidR="0011479F">
        <w:rPr>
          <w:noProof/>
        </w:rPr>
        <w:fldChar w:fldCharType="end"/>
      </w:r>
      <w:r>
        <w:t>.</w:t>
      </w:r>
      <w:r w:rsidRPr="000C694D">
        <w:t xml:space="preserve"> </w:t>
      </w:r>
      <w:r>
        <w:t>Commercial Solar Project Costs</w:t>
      </w:r>
      <w:bookmarkEnd w:id="9"/>
    </w:p>
    <w:tbl>
      <w:tblPr>
        <w:tblStyle w:val="TableGrid"/>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442"/>
        <w:gridCol w:w="1904"/>
        <w:gridCol w:w="2759"/>
        <w:gridCol w:w="2388"/>
      </w:tblGrid>
      <w:tr w:rsidTr="00AC0E2B">
        <w:tblPrEx>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465"/>
        </w:trPr>
        <w:tc>
          <w:tcPr>
            <w:tcW w:w="2442" w:type="dxa"/>
            <w:shd w:val="clear" w:color="auto" w:fill="D9D9D9" w:themeFill="background1" w:themeFillShade="D9"/>
          </w:tcPr>
          <w:p w:rsidR="00A36F97" w:rsidRPr="001A012B" w:rsidP="00C54EB1">
            <w:pPr>
              <w:spacing w:before="48" w:beforeLines="20" w:after="48" w:afterLines="20" w:line="240" w:lineRule="auto"/>
              <w:rPr>
                <w:rStyle w:val="DefaultParagraphFont"/>
                <w:rFonts w:ascii="Arial" w:eastAsia="Times New Roman" w:hAnsi="Arial" w:cs="Arial"/>
                <w:b/>
                <w:sz w:val="20"/>
                <w:szCs w:val="22"/>
                <w:lang w:val="en-US" w:eastAsia="en-US" w:bidi="ar-SA"/>
              </w:rPr>
            </w:pPr>
            <w:r w:rsidRPr="001A012B">
              <w:rPr>
                <w:rFonts w:ascii="Arial" w:eastAsia="Times New Roman" w:hAnsi="Arial" w:cs="Arial"/>
                <w:b/>
                <w:sz w:val="20"/>
                <w:szCs w:val="22"/>
                <w:lang w:val="en-US" w:eastAsia="en-US" w:bidi="ar-SA"/>
              </w:rPr>
              <w:t>Company</w:t>
            </w:r>
          </w:p>
        </w:tc>
        <w:tc>
          <w:tcPr>
            <w:tcW w:w="1904" w:type="dxa"/>
            <w:shd w:val="clear" w:color="auto" w:fill="D9D9D9" w:themeFill="background1" w:themeFillShade="D9"/>
          </w:tcPr>
          <w:p w:rsidR="00A36F97" w:rsidRPr="001A012B" w:rsidP="00C54EB1">
            <w:pPr>
              <w:spacing w:before="48" w:beforeLines="20" w:after="48" w:afterLines="20" w:line="240" w:lineRule="auto"/>
              <w:rPr>
                <w:rStyle w:val="DefaultParagraphFont"/>
                <w:rFonts w:ascii="Arial" w:eastAsia="Times New Roman" w:hAnsi="Arial" w:cs="Arial"/>
                <w:b/>
                <w:sz w:val="20"/>
                <w:szCs w:val="22"/>
                <w:lang w:val="en-US" w:eastAsia="en-US" w:bidi="ar-SA"/>
              </w:rPr>
            </w:pPr>
            <w:r w:rsidRPr="001A012B">
              <w:rPr>
                <w:rFonts w:ascii="Arial" w:eastAsia="Times New Roman" w:hAnsi="Arial" w:cs="Arial"/>
                <w:b/>
                <w:sz w:val="20"/>
                <w:szCs w:val="22"/>
                <w:lang w:val="en-US" w:eastAsia="en-US" w:bidi="ar-SA"/>
              </w:rPr>
              <w:t>Cost Amount</w:t>
            </w:r>
          </w:p>
        </w:tc>
        <w:tc>
          <w:tcPr>
            <w:tcW w:w="2759" w:type="dxa"/>
            <w:shd w:val="clear" w:color="auto" w:fill="D9D9D9" w:themeFill="background1" w:themeFillShade="D9"/>
          </w:tcPr>
          <w:p w:rsidR="00A36F97" w:rsidRPr="001A012B" w:rsidP="00C54EB1">
            <w:pPr>
              <w:spacing w:before="48" w:beforeLines="20" w:after="48" w:afterLines="20" w:line="240" w:lineRule="auto"/>
              <w:rPr>
                <w:rStyle w:val="DefaultParagraphFont"/>
                <w:rFonts w:ascii="Arial" w:eastAsia="Times New Roman" w:hAnsi="Arial" w:cs="Arial"/>
                <w:b/>
                <w:sz w:val="20"/>
                <w:szCs w:val="22"/>
                <w:lang w:val="en-US" w:eastAsia="en-US" w:bidi="ar-SA"/>
              </w:rPr>
            </w:pPr>
            <w:r w:rsidRPr="001A012B">
              <w:rPr>
                <w:rFonts w:ascii="Arial" w:eastAsia="Times New Roman" w:hAnsi="Arial" w:cs="Arial"/>
                <w:b/>
                <w:sz w:val="20"/>
                <w:szCs w:val="22"/>
                <w:lang w:val="en-US" w:eastAsia="en-US" w:bidi="ar-SA"/>
              </w:rPr>
              <w:t>Cost Source</w:t>
            </w:r>
          </w:p>
        </w:tc>
        <w:tc>
          <w:tcPr>
            <w:tcW w:w="2388" w:type="dxa"/>
            <w:shd w:val="clear" w:color="auto" w:fill="D9D9D9" w:themeFill="background1" w:themeFillShade="D9"/>
          </w:tcPr>
          <w:p w:rsidR="00A36F97" w:rsidRPr="001A012B" w:rsidP="00C54EB1">
            <w:pPr>
              <w:spacing w:before="48" w:beforeLines="20" w:after="48" w:afterLines="20" w:line="240" w:lineRule="auto"/>
              <w:rPr>
                <w:rStyle w:val="DefaultParagraphFont"/>
                <w:rFonts w:ascii="Arial" w:eastAsia="Times New Roman" w:hAnsi="Arial" w:cs="Arial"/>
                <w:b/>
                <w:sz w:val="20"/>
                <w:szCs w:val="22"/>
                <w:lang w:val="en-US" w:eastAsia="en-US" w:bidi="ar-SA"/>
              </w:rPr>
            </w:pPr>
            <w:r w:rsidRPr="001A012B">
              <w:rPr>
                <w:rFonts w:ascii="Arial" w:eastAsia="Times New Roman" w:hAnsi="Arial" w:cs="Arial"/>
                <w:b/>
                <w:sz w:val="20"/>
                <w:szCs w:val="22"/>
                <w:lang w:val="en-US" w:eastAsia="en-US" w:bidi="ar-SA"/>
              </w:rPr>
              <w:t>Relevant Dates</w:t>
            </w:r>
          </w:p>
        </w:tc>
      </w:tr>
      <w:tr w:rsidTr="00AC0E2B">
        <w:tblPrEx>
          <w:tblW w:w="9493" w:type="dxa"/>
          <w:tblInd w:w="0" w:type="dxa"/>
          <w:tblCellMar>
            <w:top w:w="0" w:type="dxa"/>
            <w:left w:w="108" w:type="dxa"/>
            <w:bottom w:w="0" w:type="dxa"/>
            <w:right w:w="108" w:type="dxa"/>
          </w:tblCellMar>
          <w:tblLook w:val="04A0"/>
        </w:tblPrEx>
        <w:trPr>
          <w:trHeight w:val="936"/>
        </w:trPr>
        <w:tc>
          <w:tcPr>
            <w:tcW w:w="2442" w:type="dxa"/>
            <w:vMerge w:val="restart"/>
          </w:tcPr>
          <w:p w:rsidR="00A36F97" w:rsidRPr="001A012B" w:rsidP="00C54EB1">
            <w:pPr>
              <w:spacing w:before="48" w:beforeLines="20" w:after="48" w:afterLines="20" w:line="240" w:lineRule="auto"/>
              <w:rPr>
                <w:rStyle w:val="DefaultParagraphFont"/>
                <w:rFonts w:ascii="Arial" w:eastAsia="Times New Roman" w:hAnsi="Arial" w:cs="Arial"/>
                <w:b/>
                <w:sz w:val="20"/>
                <w:szCs w:val="22"/>
                <w:lang w:val="en-US" w:eastAsia="en-US" w:bidi="ar-SA"/>
              </w:rPr>
            </w:pPr>
            <w:r w:rsidRPr="001A012B">
              <w:rPr>
                <w:rFonts w:ascii="Arial" w:eastAsia="Times New Roman" w:hAnsi="Arial" w:cs="Arial"/>
                <w:b/>
                <w:sz w:val="20"/>
                <w:szCs w:val="22"/>
                <w:lang w:val="en-US" w:eastAsia="en-US" w:bidi="ar-SA"/>
              </w:rPr>
              <w:t>Knobelsdorff</w:t>
            </w:r>
            <w:r w:rsidR="00AC0E2B">
              <w:rPr>
                <w:rFonts w:ascii="Arial" w:eastAsia="Times New Roman" w:hAnsi="Arial" w:cs="Arial"/>
                <w:b/>
                <w:sz w:val="20"/>
                <w:szCs w:val="22"/>
                <w:lang w:val="en-US" w:eastAsia="en-US" w:bidi="ar-SA"/>
              </w:rPr>
              <w:t xml:space="preserve"> Enterprises</w:t>
            </w:r>
          </w:p>
          <w:p w:rsidR="00F24E81" w:rsidRPr="001A012B" w:rsidP="00C54EB1">
            <w:pPr>
              <w:spacing w:before="48" w:beforeLines="20" w:after="48" w:afterLines="20" w:line="240" w:lineRule="auto"/>
              <w:rPr>
                <w:rStyle w:val="DefaultParagraphFont"/>
                <w:rFonts w:ascii="Arial" w:eastAsia="Times New Roman" w:hAnsi="Arial" w:cs="Arial"/>
                <w:i/>
                <w:sz w:val="20"/>
                <w:szCs w:val="22"/>
                <w:lang w:val="en-US" w:eastAsia="en-US" w:bidi="ar-SA"/>
              </w:rPr>
            </w:pPr>
            <w:r w:rsidRPr="001A012B">
              <w:rPr>
                <w:rFonts w:ascii="Arial" w:eastAsia="Times New Roman" w:hAnsi="Arial" w:cs="Arial"/>
                <w:i/>
                <w:sz w:val="20"/>
                <w:szCs w:val="22"/>
                <w:lang w:val="en-US" w:eastAsia="en-US" w:bidi="ar-SA"/>
              </w:rPr>
              <w:t>Engineering, Procurement, and Construction Contractor</w:t>
            </w:r>
          </w:p>
        </w:tc>
        <w:tc>
          <w:tcPr>
            <w:tcW w:w="1904" w:type="dxa"/>
          </w:tcPr>
          <w:p w:rsidR="00A36F97" w:rsidRPr="007B0185" w:rsidP="007B0185">
            <w:pPr>
              <w:spacing w:before="48" w:beforeLines="20" w:after="48" w:afterLines="20" w:line="240" w:lineRule="auto"/>
              <w:jc w:val="right"/>
              <w:rPr>
                <w:rStyle w:val="DefaultParagraphFont"/>
                <w:rFonts w:ascii="Arial" w:eastAsia="Times New Roman" w:hAnsi="Arial" w:cs="Arial"/>
                <w:sz w:val="20"/>
                <w:szCs w:val="22"/>
                <w:lang w:val="en-US" w:eastAsia="en-US" w:bidi="ar-SA"/>
              </w:rPr>
            </w:pPr>
            <w:r w:rsidRPr="007B0185">
              <w:rPr>
                <w:rFonts w:ascii="Arial" w:eastAsia="Times New Roman" w:hAnsi="Arial" w:cs="Arial"/>
                <w:sz w:val="20"/>
                <w:szCs w:val="22"/>
                <w:lang w:val="en-US" w:eastAsia="en-US" w:bidi="ar-SA"/>
              </w:rPr>
              <w:t>$</w:t>
            </w:r>
            <w:r w:rsidRPr="007B0185" w:rsidR="007B0185">
              <w:rPr>
                <w:rFonts w:ascii="Arial" w:eastAsia="Times New Roman" w:hAnsi="Arial" w:cs="Arial"/>
                <w:sz w:val="20"/>
                <w:szCs w:val="22"/>
                <w:lang w:val="en-US" w:eastAsia="en-US" w:bidi="ar-SA"/>
              </w:rPr>
              <w:t>96,193.00</w:t>
            </w:r>
          </w:p>
        </w:tc>
        <w:tc>
          <w:tcPr>
            <w:tcW w:w="2759" w:type="dxa"/>
          </w:tcPr>
          <w:p w:rsidR="00A36F97" w:rsidRPr="001A012B" w:rsidP="00C54EB1">
            <w:pPr>
              <w:spacing w:before="48" w:beforeLines="20" w:after="48" w:afterLines="20" w:line="240" w:lineRule="auto"/>
              <w:rPr>
                <w:rStyle w:val="DefaultParagraphFont"/>
                <w:rFonts w:ascii="Arial" w:eastAsia="Times New Roman" w:hAnsi="Arial" w:cs="Arial"/>
                <w:sz w:val="20"/>
                <w:szCs w:val="22"/>
                <w:lang w:val="en-US" w:eastAsia="en-US" w:bidi="ar-SA"/>
              </w:rPr>
            </w:pPr>
            <w:r w:rsidRPr="001A012B">
              <w:rPr>
                <w:rFonts w:ascii="Arial" w:eastAsia="Times New Roman" w:hAnsi="Arial" w:cs="Arial"/>
                <w:sz w:val="20"/>
                <w:szCs w:val="22"/>
                <w:lang w:val="en-US" w:eastAsia="en-US" w:bidi="ar-SA"/>
              </w:rPr>
              <w:t>Certified</w:t>
            </w:r>
            <w:r w:rsidR="00A545A9">
              <w:rPr>
                <w:rFonts w:ascii="Arial" w:eastAsia="Times New Roman" w:hAnsi="Arial" w:cs="Arial"/>
                <w:sz w:val="20"/>
                <w:szCs w:val="22"/>
                <w:lang w:val="en-US" w:eastAsia="en-US" w:bidi="ar-SA"/>
              </w:rPr>
              <w:t xml:space="preserve"> Cost – Service Agreement </w:t>
            </w:r>
            <w:r w:rsidRPr="00A545A9" w:rsidR="00A545A9">
              <w:rPr>
                <w:rFonts w:ascii="Arial" w:eastAsia="Times New Roman" w:hAnsi="Arial" w:cs="Arial"/>
                <w:i/>
                <w:sz w:val="20"/>
                <w:szCs w:val="22"/>
                <w:lang w:val="en-US" w:eastAsia="en-US" w:bidi="ar-SA"/>
              </w:rPr>
              <w:t>(Due d</w:t>
            </w:r>
            <w:r w:rsidRPr="00A545A9">
              <w:rPr>
                <w:rFonts w:ascii="Arial" w:eastAsia="Times New Roman" w:hAnsi="Arial" w:cs="Arial"/>
                <w:i/>
                <w:sz w:val="20"/>
                <w:szCs w:val="22"/>
                <w:lang w:val="en-US" w:eastAsia="en-US" w:bidi="ar-SA"/>
              </w:rPr>
              <w:t>iligence</w:t>
            </w:r>
            <w:r w:rsidR="00F67CD1">
              <w:rPr>
                <w:rFonts w:ascii="Arial" w:eastAsia="Times New Roman" w:hAnsi="Arial" w:cs="Arial"/>
                <w:i/>
                <w:sz w:val="20"/>
                <w:szCs w:val="22"/>
                <w:lang w:val="en-US" w:eastAsia="en-US" w:bidi="ar-SA"/>
              </w:rPr>
              <w:t xml:space="preserve"> costs</w:t>
            </w:r>
            <w:r w:rsidRPr="00A545A9">
              <w:rPr>
                <w:rFonts w:ascii="Arial" w:eastAsia="Times New Roman" w:hAnsi="Arial" w:cs="Arial"/>
                <w:i/>
                <w:sz w:val="20"/>
                <w:szCs w:val="22"/>
                <w:lang w:val="en-US" w:eastAsia="en-US" w:bidi="ar-SA"/>
              </w:rPr>
              <w:t>)</w:t>
            </w:r>
          </w:p>
        </w:tc>
        <w:tc>
          <w:tcPr>
            <w:tcW w:w="2388" w:type="dxa"/>
          </w:tcPr>
          <w:p w:rsidR="00A36F97" w:rsidRPr="001A012B" w:rsidP="00C54EB1">
            <w:pPr>
              <w:spacing w:before="48" w:beforeLines="20" w:after="48" w:afterLines="20" w:line="240" w:lineRule="auto"/>
              <w:rPr>
                <w:rStyle w:val="DefaultParagraphFont"/>
                <w:rFonts w:ascii="Arial" w:eastAsia="Times New Roman" w:hAnsi="Arial" w:cs="Arial"/>
                <w:sz w:val="20"/>
                <w:szCs w:val="22"/>
                <w:lang w:val="en-US" w:eastAsia="en-US" w:bidi="ar-SA"/>
              </w:rPr>
            </w:pPr>
            <w:r w:rsidRPr="001A012B">
              <w:rPr>
                <w:rFonts w:ascii="Arial" w:eastAsia="Times New Roman" w:hAnsi="Arial" w:cs="Arial"/>
                <w:sz w:val="20"/>
                <w:szCs w:val="22"/>
                <w:lang w:val="en-US" w:eastAsia="en-US" w:bidi="ar-SA"/>
              </w:rPr>
              <w:t>August – October 2022</w:t>
            </w:r>
          </w:p>
        </w:tc>
      </w:tr>
      <w:tr w:rsidTr="00AC0E2B">
        <w:tblPrEx>
          <w:tblW w:w="9493" w:type="dxa"/>
          <w:tblInd w:w="0" w:type="dxa"/>
          <w:tblCellMar>
            <w:top w:w="0" w:type="dxa"/>
            <w:left w:w="108" w:type="dxa"/>
            <w:bottom w:w="0" w:type="dxa"/>
            <w:right w:w="108" w:type="dxa"/>
          </w:tblCellMar>
          <w:tblLook w:val="04A0"/>
        </w:tblPrEx>
        <w:trPr>
          <w:trHeight w:val="936"/>
        </w:trPr>
        <w:tc>
          <w:tcPr>
            <w:tcW w:w="2442" w:type="dxa"/>
            <w:vMerge/>
          </w:tcPr>
          <w:p w:rsidR="00A36F97" w:rsidRPr="001A012B" w:rsidP="00C54EB1">
            <w:pPr>
              <w:spacing w:before="48" w:beforeLines="20" w:after="48" w:afterLines="20" w:line="240" w:lineRule="auto"/>
              <w:rPr>
                <w:rStyle w:val="DefaultParagraphFont"/>
                <w:rFonts w:ascii="Arial" w:eastAsia="Times New Roman" w:hAnsi="Arial" w:cs="Arial"/>
                <w:b/>
                <w:sz w:val="20"/>
                <w:szCs w:val="22"/>
                <w:lang w:val="en-US" w:eastAsia="en-US" w:bidi="ar-SA"/>
              </w:rPr>
            </w:pPr>
          </w:p>
        </w:tc>
        <w:tc>
          <w:tcPr>
            <w:tcW w:w="1904" w:type="dxa"/>
          </w:tcPr>
          <w:p w:rsidR="00A36F97" w:rsidRPr="00A545A9" w:rsidP="007B0185">
            <w:pPr>
              <w:spacing w:before="48" w:beforeLines="20" w:after="48" w:afterLines="20" w:line="240" w:lineRule="auto"/>
              <w:jc w:val="right"/>
              <w:rPr>
                <w:rStyle w:val="DefaultParagraphFont"/>
                <w:rFonts w:ascii="Arial" w:eastAsia="Times New Roman" w:hAnsi="Arial" w:cs="Arial"/>
                <w:sz w:val="20"/>
                <w:szCs w:val="22"/>
                <w:highlight w:val="yellow"/>
                <w:lang w:val="en-US" w:eastAsia="en-US" w:bidi="ar-SA"/>
              </w:rPr>
            </w:pPr>
            <w:r w:rsidRPr="00F67CD1">
              <w:rPr>
                <w:rFonts w:ascii="Arial" w:eastAsia="Times New Roman" w:hAnsi="Arial" w:cs="Arial"/>
                <w:sz w:val="20"/>
                <w:szCs w:val="22"/>
                <w:lang w:val="en-US" w:eastAsia="en-US" w:bidi="ar-SA"/>
              </w:rPr>
              <w:t>$11,911,903.00</w:t>
            </w:r>
          </w:p>
        </w:tc>
        <w:tc>
          <w:tcPr>
            <w:tcW w:w="2759" w:type="dxa"/>
          </w:tcPr>
          <w:p w:rsidR="00A36F97" w:rsidRPr="001A012B" w:rsidP="00C54EB1">
            <w:pPr>
              <w:spacing w:before="48" w:beforeLines="20" w:after="48" w:afterLines="20" w:line="240" w:lineRule="auto"/>
              <w:rPr>
                <w:rStyle w:val="DefaultParagraphFont"/>
                <w:rFonts w:ascii="Arial" w:eastAsia="Times New Roman" w:hAnsi="Arial" w:cs="Arial"/>
                <w:sz w:val="20"/>
                <w:szCs w:val="22"/>
                <w:lang w:val="en-US" w:eastAsia="en-US" w:bidi="ar-SA"/>
              </w:rPr>
            </w:pPr>
            <w:r w:rsidRPr="001A012B">
              <w:rPr>
                <w:rFonts w:ascii="Arial" w:eastAsia="Times New Roman" w:hAnsi="Arial" w:cs="Arial"/>
                <w:sz w:val="20"/>
                <w:szCs w:val="22"/>
                <w:lang w:val="en-US" w:eastAsia="en-US" w:bidi="ar-SA"/>
              </w:rPr>
              <w:t>Certified Cost – EPC Agreement</w:t>
            </w:r>
            <w:r w:rsidRPr="00F67CD1" w:rsidR="00F67CD1">
              <w:rPr>
                <w:rFonts w:ascii="Arial" w:eastAsia="Times New Roman" w:hAnsi="Arial" w:cs="Arial"/>
                <w:i/>
                <w:sz w:val="20"/>
                <w:szCs w:val="22"/>
                <w:lang w:val="en-US" w:eastAsia="en-US" w:bidi="ar-SA"/>
              </w:rPr>
              <w:t xml:space="preserve"> (Engineer, procure</w:t>
            </w:r>
            <w:r w:rsidR="00A82CE5">
              <w:rPr>
                <w:rFonts w:ascii="Arial" w:eastAsia="Times New Roman" w:hAnsi="Arial" w:cs="Arial"/>
                <w:i/>
                <w:sz w:val="20"/>
                <w:szCs w:val="22"/>
                <w:lang w:val="en-US" w:eastAsia="en-US" w:bidi="ar-SA"/>
              </w:rPr>
              <w:t>,</w:t>
            </w:r>
            <w:r w:rsidRPr="00F67CD1" w:rsidR="00F67CD1">
              <w:rPr>
                <w:rFonts w:ascii="Arial" w:eastAsia="Times New Roman" w:hAnsi="Arial" w:cs="Arial"/>
                <w:i/>
                <w:sz w:val="20"/>
                <w:szCs w:val="22"/>
                <w:lang w:val="en-US" w:eastAsia="en-US" w:bidi="ar-SA"/>
              </w:rPr>
              <w:t xml:space="preserve"> construct costs)</w:t>
            </w:r>
          </w:p>
        </w:tc>
        <w:tc>
          <w:tcPr>
            <w:tcW w:w="2388" w:type="dxa"/>
          </w:tcPr>
          <w:p w:rsidR="00A36F97" w:rsidRPr="001A012B" w:rsidP="00C54EB1">
            <w:pPr>
              <w:spacing w:before="48" w:beforeLines="20" w:after="48" w:afterLines="20" w:line="240" w:lineRule="auto"/>
              <w:rPr>
                <w:rStyle w:val="DefaultParagraphFont"/>
                <w:rFonts w:ascii="Arial" w:eastAsia="Times New Roman" w:hAnsi="Arial" w:cs="Arial"/>
                <w:sz w:val="20"/>
                <w:szCs w:val="22"/>
                <w:lang w:val="en-US" w:eastAsia="en-US" w:bidi="ar-SA"/>
              </w:rPr>
            </w:pPr>
            <w:r>
              <w:rPr>
                <w:rFonts w:ascii="Arial" w:eastAsia="Times New Roman" w:hAnsi="Arial" w:cs="Arial"/>
                <w:sz w:val="20"/>
                <w:szCs w:val="22"/>
                <w:lang w:val="en-US" w:eastAsia="en-US" w:bidi="ar-SA"/>
              </w:rPr>
              <w:t xml:space="preserve">November </w:t>
            </w:r>
            <w:r w:rsidRPr="001A012B">
              <w:rPr>
                <w:rFonts w:ascii="Arial" w:eastAsia="Times New Roman" w:hAnsi="Arial" w:cs="Arial"/>
                <w:sz w:val="20"/>
                <w:szCs w:val="22"/>
                <w:lang w:val="en-US" w:eastAsia="en-US" w:bidi="ar-SA"/>
              </w:rPr>
              <w:t xml:space="preserve">2022 – Phase </w:t>
            </w:r>
            <w:r w:rsidR="00B6012A">
              <w:rPr>
                <w:rFonts w:ascii="Arial" w:eastAsia="Times New Roman" w:hAnsi="Arial" w:cs="Arial"/>
                <w:sz w:val="20"/>
                <w:szCs w:val="22"/>
                <w:lang w:val="en-US" w:eastAsia="en-US" w:bidi="ar-SA"/>
              </w:rPr>
              <w:t>III</w:t>
            </w:r>
          </w:p>
        </w:tc>
      </w:tr>
      <w:tr w:rsidTr="00AC0E2B">
        <w:tblPrEx>
          <w:tblW w:w="9493" w:type="dxa"/>
          <w:tblInd w:w="0" w:type="dxa"/>
          <w:tblCellMar>
            <w:top w:w="0" w:type="dxa"/>
            <w:left w:w="108" w:type="dxa"/>
            <w:bottom w:w="0" w:type="dxa"/>
            <w:right w:w="108" w:type="dxa"/>
          </w:tblCellMar>
          <w:tblLook w:val="04A0"/>
        </w:tblPrEx>
        <w:trPr>
          <w:trHeight w:val="483"/>
        </w:trPr>
        <w:tc>
          <w:tcPr>
            <w:tcW w:w="2442" w:type="dxa"/>
          </w:tcPr>
          <w:p w:rsidR="00A36F97" w:rsidRPr="001A012B" w:rsidP="00C54EB1">
            <w:pPr>
              <w:spacing w:before="48" w:beforeLines="20" w:after="48" w:afterLines="20" w:line="240" w:lineRule="auto"/>
              <w:rPr>
                <w:rStyle w:val="DefaultParagraphFont"/>
                <w:rFonts w:ascii="Arial" w:eastAsia="Times New Roman" w:hAnsi="Arial" w:cs="Arial"/>
                <w:b/>
                <w:sz w:val="20"/>
                <w:szCs w:val="22"/>
                <w:lang w:val="en-US" w:eastAsia="en-US" w:bidi="ar-SA"/>
              </w:rPr>
            </w:pPr>
            <w:r w:rsidRPr="001A012B">
              <w:rPr>
                <w:rFonts w:ascii="Arial" w:eastAsia="Times New Roman" w:hAnsi="Arial" w:cs="Arial"/>
                <w:b/>
                <w:sz w:val="20"/>
                <w:szCs w:val="22"/>
                <w:lang w:val="en-US" w:eastAsia="en-US" w:bidi="ar-SA"/>
              </w:rPr>
              <w:t>Dakota Electric Association</w:t>
            </w:r>
          </w:p>
          <w:p w:rsidR="00F24E81" w:rsidRPr="001A012B" w:rsidP="00C54EB1">
            <w:pPr>
              <w:spacing w:before="48" w:beforeLines="20" w:after="48" w:afterLines="20" w:line="240" w:lineRule="auto"/>
              <w:rPr>
                <w:rStyle w:val="DefaultParagraphFont"/>
                <w:rFonts w:ascii="Arial" w:eastAsia="Times New Roman" w:hAnsi="Arial" w:cs="Arial"/>
                <w:i/>
                <w:sz w:val="20"/>
                <w:szCs w:val="22"/>
                <w:lang w:val="en-US" w:eastAsia="en-US" w:bidi="ar-SA"/>
              </w:rPr>
            </w:pPr>
            <w:r w:rsidRPr="001A012B">
              <w:rPr>
                <w:rFonts w:ascii="Arial" w:eastAsia="Times New Roman" w:hAnsi="Arial" w:cs="Arial"/>
                <w:i/>
                <w:sz w:val="20"/>
                <w:szCs w:val="22"/>
                <w:lang w:val="en-US" w:eastAsia="en-US" w:bidi="ar-SA"/>
              </w:rPr>
              <w:t>Cooperative Electric Utility Service Provider</w:t>
            </w:r>
          </w:p>
        </w:tc>
        <w:tc>
          <w:tcPr>
            <w:tcW w:w="1904" w:type="dxa"/>
          </w:tcPr>
          <w:p w:rsidR="00A36F97" w:rsidRPr="00A545A9" w:rsidP="007B0185">
            <w:pPr>
              <w:spacing w:before="48" w:beforeLines="20" w:after="48" w:afterLines="20" w:line="240" w:lineRule="auto"/>
              <w:jc w:val="right"/>
              <w:rPr>
                <w:rStyle w:val="DefaultParagraphFont"/>
                <w:rFonts w:ascii="Arial" w:eastAsia="Times New Roman" w:hAnsi="Arial" w:cs="Arial"/>
                <w:sz w:val="20"/>
                <w:szCs w:val="22"/>
                <w:highlight w:val="yellow"/>
                <w:lang w:val="en-US" w:eastAsia="en-US" w:bidi="ar-SA"/>
              </w:rPr>
            </w:pPr>
            <w:r w:rsidRPr="00E20334">
              <w:rPr>
                <w:rFonts w:ascii="Arial" w:eastAsia="Times New Roman" w:hAnsi="Arial" w:cs="Arial"/>
                <w:sz w:val="20"/>
                <w:szCs w:val="22"/>
                <w:lang w:val="en-US" w:eastAsia="en-US" w:bidi="ar-SA"/>
              </w:rPr>
              <w:t>$463,616.00</w:t>
            </w:r>
          </w:p>
        </w:tc>
        <w:tc>
          <w:tcPr>
            <w:tcW w:w="2759" w:type="dxa"/>
            <w:tcBorders>
              <w:bottom w:val="single" w:sz="4" w:space="0" w:color="auto"/>
            </w:tcBorders>
          </w:tcPr>
          <w:p w:rsidR="00A36F97" w:rsidRPr="001A012B" w:rsidP="00A545A9">
            <w:pPr>
              <w:spacing w:before="48" w:beforeLines="20" w:after="48" w:afterLines="20" w:line="240" w:lineRule="auto"/>
              <w:rPr>
                <w:rStyle w:val="DefaultParagraphFont"/>
                <w:rFonts w:ascii="Arial" w:eastAsia="Times New Roman" w:hAnsi="Arial" w:cs="Arial"/>
                <w:sz w:val="20"/>
                <w:szCs w:val="22"/>
                <w:lang w:val="en-US" w:eastAsia="en-US" w:bidi="ar-SA"/>
              </w:rPr>
            </w:pPr>
            <w:r w:rsidRPr="001A012B">
              <w:rPr>
                <w:rFonts w:ascii="Arial" w:eastAsia="Times New Roman" w:hAnsi="Arial" w:cs="Arial"/>
                <w:sz w:val="20"/>
                <w:szCs w:val="22"/>
                <w:lang w:val="en-US" w:eastAsia="en-US" w:bidi="ar-SA"/>
              </w:rPr>
              <w:t>Certified Cost – Interconnection Agreement</w:t>
            </w:r>
            <w:r w:rsidRPr="001A012B" w:rsidR="00200F5D">
              <w:rPr>
                <w:rFonts w:ascii="Arial" w:eastAsia="Times New Roman" w:hAnsi="Arial" w:cs="Arial"/>
                <w:sz w:val="20"/>
                <w:szCs w:val="22"/>
                <w:lang w:val="en-US" w:eastAsia="en-US" w:bidi="ar-SA"/>
              </w:rPr>
              <w:t xml:space="preserve"> </w:t>
            </w:r>
            <w:r w:rsidRPr="00A545A9" w:rsidR="00200F5D">
              <w:rPr>
                <w:rFonts w:ascii="Arial" w:eastAsia="Times New Roman" w:hAnsi="Arial" w:cs="Arial"/>
                <w:i/>
                <w:sz w:val="20"/>
                <w:szCs w:val="22"/>
                <w:lang w:val="en-US" w:eastAsia="en-US" w:bidi="ar-SA"/>
              </w:rPr>
              <w:t>(</w:t>
            </w:r>
            <w:r w:rsidR="00A545A9">
              <w:rPr>
                <w:rFonts w:ascii="Arial" w:eastAsia="Times New Roman" w:hAnsi="Arial" w:cs="Arial"/>
                <w:i/>
                <w:sz w:val="20"/>
                <w:szCs w:val="22"/>
                <w:lang w:val="en-US" w:eastAsia="en-US" w:bidi="ar-SA"/>
              </w:rPr>
              <w:t>I</w:t>
            </w:r>
            <w:r w:rsidR="00F67CD1">
              <w:rPr>
                <w:rFonts w:ascii="Arial" w:eastAsia="Times New Roman" w:hAnsi="Arial" w:cs="Arial"/>
                <w:i/>
                <w:sz w:val="20"/>
                <w:szCs w:val="22"/>
                <w:lang w:val="en-US" w:eastAsia="en-US" w:bidi="ar-SA"/>
              </w:rPr>
              <w:t>nterconnection costs)</w:t>
            </w:r>
          </w:p>
        </w:tc>
        <w:tc>
          <w:tcPr>
            <w:tcW w:w="2388" w:type="dxa"/>
            <w:tcBorders>
              <w:bottom w:val="single" w:sz="4" w:space="0" w:color="auto"/>
            </w:tcBorders>
          </w:tcPr>
          <w:p w:rsidR="00A36F97" w:rsidRPr="001A012B" w:rsidP="00C54EB1">
            <w:pPr>
              <w:spacing w:before="48" w:beforeLines="20" w:after="48" w:afterLines="20" w:line="240" w:lineRule="auto"/>
              <w:rPr>
                <w:rStyle w:val="DefaultParagraphFont"/>
                <w:rFonts w:ascii="Arial" w:eastAsia="Times New Roman" w:hAnsi="Arial" w:cs="Arial"/>
                <w:sz w:val="20"/>
                <w:szCs w:val="22"/>
                <w:lang w:val="en-US" w:eastAsia="en-US" w:bidi="ar-SA"/>
              </w:rPr>
            </w:pPr>
            <w:r>
              <w:rPr>
                <w:rFonts w:ascii="Arial" w:eastAsia="Times New Roman" w:hAnsi="Arial" w:cs="Arial"/>
                <w:sz w:val="20"/>
                <w:szCs w:val="22"/>
                <w:lang w:val="en-US" w:eastAsia="en-US" w:bidi="ar-SA"/>
              </w:rPr>
              <w:t>November</w:t>
            </w:r>
            <w:r w:rsidRPr="001A012B">
              <w:rPr>
                <w:rFonts w:ascii="Arial" w:eastAsia="Times New Roman" w:hAnsi="Arial" w:cs="Arial"/>
                <w:sz w:val="20"/>
                <w:szCs w:val="22"/>
                <w:lang w:val="en-US" w:eastAsia="en-US" w:bidi="ar-SA"/>
              </w:rPr>
              <w:t xml:space="preserve"> 2022 </w:t>
            </w:r>
            <w:r w:rsidR="00B6012A">
              <w:rPr>
                <w:rFonts w:ascii="Arial" w:eastAsia="Times New Roman" w:hAnsi="Arial" w:cs="Arial"/>
                <w:sz w:val="20"/>
                <w:szCs w:val="22"/>
                <w:lang w:val="en-US" w:eastAsia="en-US" w:bidi="ar-SA"/>
              </w:rPr>
              <w:t>– Phase III</w:t>
            </w:r>
          </w:p>
        </w:tc>
      </w:tr>
      <w:tr w:rsidTr="00AC0E2B">
        <w:tblPrEx>
          <w:tblW w:w="9493" w:type="dxa"/>
          <w:tblInd w:w="0" w:type="dxa"/>
          <w:tblCellMar>
            <w:top w:w="0" w:type="dxa"/>
            <w:left w:w="108" w:type="dxa"/>
            <w:bottom w:w="0" w:type="dxa"/>
            <w:right w:w="108" w:type="dxa"/>
          </w:tblCellMar>
          <w:tblLook w:val="04A0"/>
        </w:tblPrEx>
        <w:trPr>
          <w:trHeight w:val="483"/>
        </w:trPr>
        <w:tc>
          <w:tcPr>
            <w:tcW w:w="2442" w:type="dxa"/>
          </w:tcPr>
          <w:p w:rsidR="00200F5D" w:rsidRPr="001A012B" w:rsidP="00C54EB1">
            <w:pPr>
              <w:spacing w:before="48" w:beforeLines="20" w:after="48" w:afterLines="20" w:line="240" w:lineRule="auto"/>
              <w:rPr>
                <w:rStyle w:val="DefaultParagraphFont"/>
                <w:rFonts w:ascii="Arial" w:eastAsia="Times New Roman" w:hAnsi="Arial" w:cs="Arial"/>
                <w:b/>
                <w:sz w:val="20"/>
                <w:szCs w:val="22"/>
                <w:lang w:val="en-US" w:eastAsia="en-US" w:bidi="ar-SA"/>
              </w:rPr>
            </w:pPr>
            <w:r w:rsidRPr="001A012B">
              <w:rPr>
                <w:rFonts w:ascii="Arial" w:eastAsia="Times New Roman" w:hAnsi="Arial" w:cs="Arial"/>
                <w:b/>
                <w:sz w:val="20"/>
                <w:szCs w:val="22"/>
                <w:lang w:val="en-US" w:eastAsia="en-US" w:bidi="ar-SA"/>
              </w:rPr>
              <w:t xml:space="preserve">Great River Energy </w:t>
            </w:r>
          </w:p>
          <w:p w:rsidR="00200F5D" w:rsidRPr="001A012B" w:rsidP="00C54EB1">
            <w:pPr>
              <w:spacing w:before="48" w:beforeLines="20" w:after="48" w:afterLines="20" w:line="240" w:lineRule="auto"/>
              <w:rPr>
                <w:rStyle w:val="DefaultParagraphFont"/>
                <w:rFonts w:ascii="Arial" w:eastAsia="Times New Roman" w:hAnsi="Arial" w:cs="Arial"/>
                <w:b/>
                <w:sz w:val="20"/>
                <w:szCs w:val="22"/>
                <w:lang w:val="en-US" w:eastAsia="en-US" w:bidi="ar-SA"/>
              </w:rPr>
            </w:pPr>
            <w:r w:rsidRPr="001A012B">
              <w:rPr>
                <w:rFonts w:ascii="Arial" w:eastAsia="Times New Roman" w:hAnsi="Arial" w:cs="Arial"/>
                <w:i/>
                <w:sz w:val="20"/>
                <w:szCs w:val="22"/>
                <w:lang w:val="en-US" w:eastAsia="en-US" w:bidi="ar-SA"/>
              </w:rPr>
              <w:t>Cooperative Electric Utility Service Provider</w:t>
            </w:r>
          </w:p>
        </w:tc>
        <w:tc>
          <w:tcPr>
            <w:tcW w:w="1904" w:type="dxa"/>
          </w:tcPr>
          <w:p w:rsidR="00200F5D" w:rsidRPr="007B0185" w:rsidP="007B0185">
            <w:pPr>
              <w:spacing w:before="48" w:beforeLines="20" w:after="48" w:afterLines="20" w:line="240" w:lineRule="auto"/>
              <w:jc w:val="right"/>
              <w:rPr>
                <w:rStyle w:val="DefaultParagraphFont"/>
                <w:rFonts w:ascii="Arial" w:eastAsia="Times New Roman" w:hAnsi="Arial" w:cs="Arial"/>
                <w:sz w:val="20"/>
                <w:szCs w:val="22"/>
                <w:lang w:val="en-US" w:eastAsia="en-US" w:bidi="ar-SA"/>
              </w:rPr>
            </w:pPr>
            <w:r w:rsidRPr="007B0185">
              <w:rPr>
                <w:rFonts w:ascii="Arial" w:eastAsia="Times New Roman" w:hAnsi="Arial" w:cs="Arial"/>
                <w:sz w:val="20"/>
                <w:szCs w:val="22"/>
                <w:lang w:val="en-US" w:eastAsia="en-US" w:bidi="ar-SA"/>
              </w:rPr>
              <w:t>$270,000</w:t>
            </w:r>
            <w:r w:rsidR="00277717">
              <w:rPr>
                <w:rFonts w:ascii="Arial" w:eastAsia="Times New Roman" w:hAnsi="Arial" w:cs="Arial"/>
                <w:sz w:val="20"/>
                <w:szCs w:val="22"/>
                <w:lang w:val="en-US" w:eastAsia="en-US" w:bidi="ar-SA"/>
              </w:rPr>
              <w:t>.00</w:t>
            </w:r>
          </w:p>
        </w:tc>
        <w:tc>
          <w:tcPr>
            <w:tcW w:w="2759" w:type="dxa"/>
            <w:tcBorders>
              <w:bottom w:val="single" w:sz="4" w:space="0" w:color="auto"/>
            </w:tcBorders>
          </w:tcPr>
          <w:p w:rsidR="00200F5D" w:rsidRPr="001A012B" w:rsidP="00A545A9">
            <w:pPr>
              <w:spacing w:before="48" w:beforeLines="20" w:after="48" w:afterLines="20" w:line="240" w:lineRule="auto"/>
              <w:rPr>
                <w:rStyle w:val="DefaultParagraphFont"/>
                <w:rFonts w:ascii="Arial" w:eastAsia="Times New Roman" w:hAnsi="Arial" w:cs="Arial"/>
                <w:sz w:val="20"/>
                <w:szCs w:val="22"/>
                <w:lang w:val="en-US" w:eastAsia="en-US" w:bidi="ar-SA"/>
              </w:rPr>
            </w:pPr>
            <w:r w:rsidRPr="001A012B">
              <w:rPr>
                <w:rFonts w:ascii="Arial" w:eastAsia="Times New Roman" w:hAnsi="Arial" w:cs="Arial"/>
                <w:sz w:val="20"/>
                <w:szCs w:val="22"/>
                <w:lang w:val="en-US" w:eastAsia="en-US" w:bidi="ar-SA"/>
              </w:rPr>
              <w:t xml:space="preserve">Certified Cost  - Power Purchase Agreement </w:t>
            </w:r>
            <w:r w:rsidRPr="00A545A9">
              <w:rPr>
                <w:rFonts w:ascii="Arial" w:eastAsia="Times New Roman" w:hAnsi="Arial" w:cs="Arial"/>
                <w:i/>
                <w:sz w:val="20"/>
                <w:szCs w:val="22"/>
                <w:lang w:val="en-US" w:eastAsia="en-US" w:bidi="ar-SA"/>
              </w:rPr>
              <w:t>(</w:t>
            </w:r>
            <w:r w:rsidRPr="00A545A9" w:rsidR="00A545A9">
              <w:rPr>
                <w:rFonts w:ascii="Arial" w:eastAsia="Times New Roman" w:hAnsi="Arial" w:cs="Arial"/>
                <w:i/>
                <w:sz w:val="20"/>
                <w:szCs w:val="22"/>
                <w:lang w:val="en-US" w:eastAsia="en-US" w:bidi="ar-SA"/>
              </w:rPr>
              <w:t xml:space="preserve">PPA </w:t>
            </w:r>
            <w:r w:rsidRPr="00A545A9">
              <w:rPr>
                <w:rFonts w:ascii="Arial" w:eastAsia="Times New Roman" w:hAnsi="Arial" w:cs="Arial"/>
                <w:i/>
                <w:sz w:val="20"/>
                <w:szCs w:val="22"/>
                <w:lang w:val="en-US" w:eastAsia="en-US" w:bidi="ar-SA"/>
              </w:rPr>
              <w:t>Security Fund cost)</w:t>
            </w:r>
          </w:p>
        </w:tc>
        <w:tc>
          <w:tcPr>
            <w:tcW w:w="2388" w:type="dxa"/>
            <w:tcBorders>
              <w:bottom w:val="single" w:sz="4" w:space="0" w:color="auto"/>
            </w:tcBorders>
          </w:tcPr>
          <w:p w:rsidR="00200F5D" w:rsidRPr="001A012B" w:rsidP="00C54EB1">
            <w:pPr>
              <w:spacing w:before="48" w:beforeLines="20" w:after="48" w:afterLines="20" w:line="240" w:lineRule="auto"/>
              <w:rPr>
                <w:rStyle w:val="DefaultParagraphFont"/>
                <w:rFonts w:ascii="Arial" w:eastAsia="Times New Roman" w:hAnsi="Arial" w:cs="Arial"/>
                <w:sz w:val="20"/>
                <w:szCs w:val="22"/>
                <w:lang w:val="en-US" w:eastAsia="en-US" w:bidi="ar-SA"/>
              </w:rPr>
            </w:pPr>
            <w:r>
              <w:rPr>
                <w:rFonts w:ascii="Arial" w:eastAsia="Times New Roman" w:hAnsi="Arial" w:cs="Arial"/>
                <w:sz w:val="20"/>
                <w:szCs w:val="22"/>
                <w:lang w:val="en-US" w:eastAsia="en-US" w:bidi="ar-SA"/>
              </w:rPr>
              <w:t>December</w:t>
            </w:r>
            <w:r w:rsidR="00B6012A">
              <w:rPr>
                <w:rFonts w:ascii="Arial" w:eastAsia="Times New Roman" w:hAnsi="Arial" w:cs="Arial"/>
                <w:sz w:val="20"/>
                <w:szCs w:val="22"/>
                <w:lang w:val="en-US" w:eastAsia="en-US" w:bidi="ar-SA"/>
              </w:rPr>
              <w:t xml:space="preserve"> 2022 – Phase III</w:t>
            </w:r>
          </w:p>
        </w:tc>
      </w:tr>
      <w:tr w:rsidTr="00AC0E2B">
        <w:tblPrEx>
          <w:tblW w:w="9493" w:type="dxa"/>
          <w:tblInd w:w="0" w:type="dxa"/>
          <w:tblCellMar>
            <w:top w:w="0" w:type="dxa"/>
            <w:left w:w="108" w:type="dxa"/>
            <w:bottom w:w="0" w:type="dxa"/>
            <w:right w:w="108" w:type="dxa"/>
          </w:tblCellMar>
          <w:tblLook w:val="04A0"/>
        </w:tblPrEx>
        <w:trPr>
          <w:trHeight w:val="483"/>
        </w:trPr>
        <w:tc>
          <w:tcPr>
            <w:tcW w:w="2442" w:type="dxa"/>
            <w:shd w:val="clear" w:color="auto" w:fill="D9D9D9" w:themeFill="background1" w:themeFillShade="D9"/>
          </w:tcPr>
          <w:p w:rsidR="007B0185" w:rsidRPr="001A012B" w:rsidP="00C54EB1">
            <w:pPr>
              <w:spacing w:before="48" w:beforeLines="20" w:after="48" w:afterLines="20" w:line="240" w:lineRule="auto"/>
              <w:rPr>
                <w:rStyle w:val="DefaultParagraphFont"/>
                <w:rFonts w:ascii="Arial" w:eastAsia="Times New Roman" w:hAnsi="Arial" w:cs="Arial"/>
                <w:b/>
                <w:sz w:val="20"/>
                <w:szCs w:val="22"/>
                <w:lang w:val="en-US" w:eastAsia="en-US" w:bidi="ar-SA"/>
              </w:rPr>
            </w:pPr>
            <w:r>
              <w:rPr>
                <w:rFonts w:ascii="Arial" w:eastAsia="Times New Roman" w:hAnsi="Arial" w:cs="Arial"/>
                <w:b/>
                <w:sz w:val="20"/>
                <w:szCs w:val="22"/>
                <w:lang w:val="en-US" w:eastAsia="en-US" w:bidi="ar-SA"/>
              </w:rPr>
              <w:t>TOTAL</w:t>
            </w:r>
          </w:p>
        </w:tc>
        <w:tc>
          <w:tcPr>
            <w:tcW w:w="1904" w:type="dxa"/>
            <w:tcBorders>
              <w:right w:val="single" w:sz="4" w:space="0" w:color="auto"/>
            </w:tcBorders>
            <w:shd w:val="clear" w:color="auto" w:fill="D9D9D9" w:themeFill="background1" w:themeFillShade="D9"/>
          </w:tcPr>
          <w:p w:rsidR="007B0185" w:rsidRPr="007B0185" w:rsidP="007B0185">
            <w:pPr>
              <w:spacing w:before="48" w:beforeLines="20" w:after="48" w:afterLines="20" w:line="240" w:lineRule="auto"/>
              <w:jc w:val="right"/>
              <w:rPr>
                <w:rStyle w:val="DefaultParagraphFont"/>
                <w:rFonts w:ascii="Arial" w:eastAsia="Times New Roman" w:hAnsi="Arial" w:cs="Arial"/>
                <w:sz w:val="20"/>
                <w:szCs w:val="22"/>
                <w:lang w:val="en-US" w:eastAsia="en-US" w:bidi="ar-SA"/>
              </w:rPr>
            </w:pPr>
            <w:r w:rsidRPr="00F67CD1">
              <w:rPr>
                <w:rFonts w:ascii="Arial" w:eastAsia="Times New Roman" w:hAnsi="Arial" w:cs="Arial"/>
                <w:sz w:val="20"/>
                <w:szCs w:val="22"/>
                <w:lang w:val="en-US" w:eastAsia="en-US" w:bidi="ar-SA"/>
              </w:rPr>
              <w:t>$12,741,712.00</w:t>
            </w:r>
          </w:p>
        </w:tc>
        <w:tc>
          <w:tcPr>
            <w:tcW w:w="2759" w:type="dxa"/>
            <w:tcBorders>
              <w:top w:val="single" w:sz="4" w:space="0" w:color="auto"/>
              <w:left w:val="single" w:sz="4" w:space="0" w:color="auto"/>
              <w:bottom w:val="nil"/>
              <w:right w:val="nil"/>
            </w:tcBorders>
          </w:tcPr>
          <w:p w:rsidR="007B0185" w:rsidRPr="001A012B" w:rsidP="00C54EB1">
            <w:pPr>
              <w:spacing w:before="48" w:beforeLines="20" w:after="48" w:afterLines="20" w:line="240" w:lineRule="auto"/>
              <w:rPr>
                <w:rStyle w:val="DefaultParagraphFont"/>
                <w:rFonts w:ascii="Arial" w:eastAsia="Times New Roman" w:hAnsi="Arial" w:cs="Arial"/>
                <w:sz w:val="20"/>
                <w:szCs w:val="22"/>
                <w:lang w:val="en-US" w:eastAsia="en-US" w:bidi="ar-SA"/>
              </w:rPr>
            </w:pPr>
          </w:p>
        </w:tc>
        <w:tc>
          <w:tcPr>
            <w:tcW w:w="2388" w:type="dxa"/>
            <w:tcBorders>
              <w:top w:val="single" w:sz="4" w:space="0" w:color="auto"/>
              <w:left w:val="nil"/>
              <w:bottom w:val="nil"/>
              <w:right w:val="nil"/>
            </w:tcBorders>
          </w:tcPr>
          <w:p w:rsidR="007B0185" w:rsidRPr="001A012B" w:rsidP="00C54EB1">
            <w:pPr>
              <w:spacing w:before="48" w:beforeLines="20" w:after="48" w:afterLines="20" w:line="240" w:lineRule="auto"/>
              <w:rPr>
                <w:rStyle w:val="DefaultParagraphFont"/>
                <w:rFonts w:ascii="Arial" w:eastAsia="Times New Roman" w:hAnsi="Arial" w:cs="Arial"/>
                <w:sz w:val="20"/>
                <w:szCs w:val="22"/>
                <w:lang w:val="en-US" w:eastAsia="en-US" w:bidi="ar-SA"/>
              </w:rPr>
            </w:pPr>
          </w:p>
        </w:tc>
      </w:tr>
    </w:tbl>
    <w:p w:rsidR="00A36F97" w:rsidP="00C54EB1">
      <w:pPr>
        <w:spacing w:before="48" w:beforeLines="20" w:after="48" w:afterLines="20" w:line="240" w:lineRule="auto"/>
        <w:rPr>
          <w:rFonts w:ascii="Calibri" w:eastAsia="Times New Roman" w:hAnsi="Calibri" w:cs="Calibri"/>
          <w:b/>
          <w:bCs/>
        </w:rPr>
      </w:pPr>
    </w:p>
    <w:p w:rsidR="00350340" w:rsidP="00200F5D">
      <w:pPr>
        <w:pStyle w:val="Heading2"/>
        <w:rPr>
          <w:rFonts w:eastAsia="Times New Roman"/>
        </w:rPr>
      </w:pPr>
      <w:bookmarkStart w:id="10" w:name="_Toc121478250"/>
      <w:r>
        <w:rPr>
          <w:rFonts w:eastAsia="Times New Roman"/>
        </w:rPr>
        <w:t>2.3</w:t>
      </w:r>
      <w:r w:rsidR="00200F5D">
        <w:rPr>
          <w:rFonts w:eastAsia="Times New Roman"/>
        </w:rPr>
        <w:t>. Commercial Monitoring-based Commissioning Platform</w:t>
      </w:r>
      <w:bookmarkEnd w:id="10"/>
    </w:p>
    <w:p w:rsidR="00277717" w:rsidP="00277717">
      <w:pPr>
        <w:spacing w:before="48" w:beforeLines="20" w:after="48" w:afterLines="20" w:line="240" w:lineRule="auto"/>
        <w:rPr>
          <w:rFonts w:cs="Arial"/>
          <w:szCs w:val="18"/>
        </w:rPr>
      </w:pPr>
      <w:r w:rsidRPr="00277717">
        <w:rPr>
          <w:rFonts w:cs="Arial"/>
          <w:szCs w:val="18"/>
        </w:rPr>
        <w:t>PIIC competitively secured three bids from companies for monitoring-based commissioning software that will enable PIIC staff to better manage and optimize commercial energy systems for efficiency</w:t>
      </w:r>
      <w:r w:rsidR="00EA47C0">
        <w:rPr>
          <w:rFonts w:cs="Arial"/>
          <w:szCs w:val="18"/>
        </w:rPr>
        <w:t>. PIIC selected a platform</w:t>
      </w:r>
      <w:r w:rsidR="00F67CD1">
        <w:rPr>
          <w:rFonts w:cs="Arial"/>
          <w:szCs w:val="18"/>
        </w:rPr>
        <w:t xml:space="preserve"> from Pappe Companies.</w:t>
      </w:r>
    </w:p>
    <w:p w:rsidR="00277717" w:rsidRPr="00277717" w:rsidP="000C694D">
      <w:pPr>
        <w:pStyle w:val="Caption"/>
        <w:rPr>
          <w:rFonts w:cs="Arial"/>
        </w:rPr>
      </w:pPr>
      <w:bookmarkStart w:id="11" w:name="_Toc121478262"/>
      <w:r>
        <w:t xml:space="preserve">Table </w:t>
      </w:r>
      <w:r>
        <w:fldChar w:fldCharType="begin"/>
      </w:r>
      <w:r>
        <w:instrText xml:space="preserve"> SEQ Table \* ARABIC </w:instrText>
      </w:r>
      <w:r>
        <w:fldChar w:fldCharType="separate"/>
      </w:r>
      <w:r>
        <w:t>3</w:t>
      </w:r>
      <w:r w:rsidR="0011479F">
        <w:rPr>
          <w:noProof/>
        </w:rPr>
        <w:fldChar w:fldCharType="end"/>
      </w:r>
      <w:r>
        <w:t>. MBCx Platform Costs</w:t>
      </w:r>
      <w:bookmarkEnd w:id="11"/>
    </w:p>
    <w:tbl>
      <w:tblPr>
        <w:tblStyle w:val="TableGrid"/>
        <w:tblW w:w="957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463"/>
        <w:gridCol w:w="1920"/>
        <w:gridCol w:w="3108"/>
        <w:gridCol w:w="2084"/>
      </w:tblGrid>
      <w:tr w:rsidTr="00382292">
        <w:tblPrEx>
          <w:tblW w:w="957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72"/>
        </w:trPr>
        <w:tc>
          <w:tcPr>
            <w:tcW w:w="2463" w:type="dxa"/>
            <w:shd w:val="clear" w:color="auto" w:fill="D9D9D9" w:themeFill="background1" w:themeFillShade="D9"/>
          </w:tcPr>
          <w:p w:rsidR="00534815" w:rsidRPr="00277717" w:rsidP="00C54EB1">
            <w:pPr>
              <w:spacing w:before="48" w:beforeLines="20" w:after="48" w:afterLines="20" w:line="240" w:lineRule="auto"/>
              <w:rPr>
                <w:rStyle w:val="DefaultParagraphFont"/>
                <w:rFonts w:ascii="Arial" w:eastAsia="Times New Roman" w:hAnsi="Arial" w:cs="Arial"/>
                <w:b/>
                <w:sz w:val="20"/>
                <w:szCs w:val="22"/>
                <w:lang w:val="en-US" w:eastAsia="en-US" w:bidi="ar-SA"/>
              </w:rPr>
            </w:pPr>
            <w:r w:rsidRPr="00277717">
              <w:rPr>
                <w:rFonts w:ascii="Arial" w:eastAsia="Times New Roman" w:hAnsi="Arial" w:cs="Arial"/>
                <w:b/>
                <w:sz w:val="20"/>
                <w:szCs w:val="22"/>
                <w:lang w:val="en-US" w:eastAsia="en-US" w:bidi="ar-SA"/>
              </w:rPr>
              <w:t>Company</w:t>
            </w:r>
          </w:p>
        </w:tc>
        <w:tc>
          <w:tcPr>
            <w:tcW w:w="1920" w:type="dxa"/>
            <w:shd w:val="clear" w:color="auto" w:fill="D9D9D9" w:themeFill="background1" w:themeFillShade="D9"/>
          </w:tcPr>
          <w:p w:rsidR="00534815" w:rsidRPr="00277717" w:rsidP="00C54EB1">
            <w:pPr>
              <w:spacing w:before="48" w:beforeLines="20" w:after="48" w:afterLines="20" w:line="240" w:lineRule="auto"/>
              <w:rPr>
                <w:rStyle w:val="DefaultParagraphFont"/>
                <w:rFonts w:ascii="Arial" w:eastAsia="Times New Roman" w:hAnsi="Arial" w:cs="Arial"/>
                <w:b/>
                <w:sz w:val="20"/>
                <w:szCs w:val="22"/>
                <w:lang w:val="en-US" w:eastAsia="en-US" w:bidi="ar-SA"/>
              </w:rPr>
            </w:pPr>
            <w:r w:rsidRPr="00277717">
              <w:rPr>
                <w:rFonts w:ascii="Arial" w:eastAsia="Times New Roman" w:hAnsi="Arial" w:cs="Arial"/>
                <w:b/>
                <w:sz w:val="20"/>
                <w:szCs w:val="22"/>
                <w:lang w:val="en-US" w:eastAsia="en-US" w:bidi="ar-SA"/>
              </w:rPr>
              <w:t>Cost Amount</w:t>
            </w:r>
          </w:p>
        </w:tc>
        <w:tc>
          <w:tcPr>
            <w:tcW w:w="3108" w:type="dxa"/>
            <w:shd w:val="clear" w:color="auto" w:fill="D9D9D9" w:themeFill="background1" w:themeFillShade="D9"/>
          </w:tcPr>
          <w:p w:rsidR="00534815" w:rsidRPr="00277717" w:rsidP="00C54EB1">
            <w:pPr>
              <w:spacing w:before="48" w:beforeLines="20" w:after="48" w:afterLines="20" w:line="240" w:lineRule="auto"/>
              <w:rPr>
                <w:rStyle w:val="DefaultParagraphFont"/>
                <w:rFonts w:ascii="Arial" w:eastAsia="Times New Roman" w:hAnsi="Arial" w:cs="Arial"/>
                <w:b/>
                <w:sz w:val="20"/>
                <w:szCs w:val="22"/>
                <w:lang w:val="en-US" w:eastAsia="en-US" w:bidi="ar-SA"/>
              </w:rPr>
            </w:pPr>
            <w:r w:rsidRPr="00277717">
              <w:rPr>
                <w:rFonts w:ascii="Arial" w:eastAsia="Times New Roman" w:hAnsi="Arial" w:cs="Arial"/>
                <w:b/>
                <w:sz w:val="20"/>
                <w:szCs w:val="22"/>
                <w:lang w:val="en-US" w:eastAsia="en-US" w:bidi="ar-SA"/>
              </w:rPr>
              <w:t>Cost Source</w:t>
            </w:r>
          </w:p>
        </w:tc>
        <w:tc>
          <w:tcPr>
            <w:tcW w:w="2084" w:type="dxa"/>
            <w:shd w:val="clear" w:color="auto" w:fill="D9D9D9" w:themeFill="background1" w:themeFillShade="D9"/>
          </w:tcPr>
          <w:p w:rsidR="00534815" w:rsidRPr="00277717" w:rsidP="00C54EB1">
            <w:pPr>
              <w:spacing w:before="48" w:beforeLines="20" w:after="48" w:afterLines="20" w:line="240" w:lineRule="auto"/>
              <w:rPr>
                <w:rStyle w:val="DefaultParagraphFont"/>
                <w:rFonts w:ascii="Arial" w:eastAsia="Times New Roman" w:hAnsi="Arial" w:cs="Arial"/>
                <w:b/>
                <w:sz w:val="20"/>
                <w:szCs w:val="22"/>
                <w:lang w:val="en-US" w:eastAsia="en-US" w:bidi="ar-SA"/>
              </w:rPr>
            </w:pPr>
            <w:r w:rsidRPr="00277717">
              <w:rPr>
                <w:rFonts w:ascii="Arial" w:eastAsia="Times New Roman" w:hAnsi="Arial" w:cs="Arial"/>
                <w:b/>
                <w:sz w:val="20"/>
                <w:szCs w:val="22"/>
                <w:lang w:val="en-US" w:eastAsia="en-US" w:bidi="ar-SA"/>
              </w:rPr>
              <w:t>Relevant Dates</w:t>
            </w:r>
          </w:p>
        </w:tc>
      </w:tr>
      <w:tr w:rsidTr="00382292">
        <w:tblPrEx>
          <w:tblW w:w="9575" w:type="dxa"/>
          <w:tblInd w:w="0" w:type="dxa"/>
          <w:tblCellMar>
            <w:top w:w="0" w:type="dxa"/>
            <w:left w:w="108" w:type="dxa"/>
            <w:bottom w:w="0" w:type="dxa"/>
            <w:right w:w="108" w:type="dxa"/>
          </w:tblCellMar>
          <w:tblLook w:val="04A0"/>
        </w:tblPrEx>
        <w:trPr>
          <w:trHeight w:val="748"/>
        </w:trPr>
        <w:tc>
          <w:tcPr>
            <w:tcW w:w="2463" w:type="dxa"/>
          </w:tcPr>
          <w:p w:rsidR="00534815" w:rsidP="00C54EB1">
            <w:pPr>
              <w:spacing w:before="48" w:beforeLines="20" w:after="48" w:afterLines="20" w:line="240" w:lineRule="auto"/>
              <w:rPr>
                <w:rStyle w:val="DefaultParagraphFont"/>
                <w:rFonts w:ascii="Arial" w:eastAsia="Times New Roman" w:hAnsi="Arial" w:cs="Arial"/>
                <w:b/>
                <w:sz w:val="20"/>
                <w:szCs w:val="22"/>
                <w:lang w:val="en-US" w:eastAsia="en-US" w:bidi="ar-SA"/>
              </w:rPr>
            </w:pPr>
            <w:r w:rsidRPr="00F67CD1">
              <w:rPr>
                <w:rFonts w:ascii="Arial" w:eastAsia="Times New Roman" w:hAnsi="Arial" w:cs="Arial"/>
                <w:b/>
                <w:sz w:val="20"/>
                <w:szCs w:val="22"/>
                <w:lang w:val="en-US" w:eastAsia="en-US" w:bidi="ar-SA"/>
              </w:rPr>
              <w:t>Pappe</w:t>
            </w:r>
            <w:r w:rsidRPr="00F67CD1" w:rsidR="00F67CD1">
              <w:rPr>
                <w:rFonts w:ascii="Arial" w:eastAsia="Times New Roman" w:hAnsi="Arial" w:cs="Arial"/>
                <w:b/>
                <w:sz w:val="20"/>
                <w:szCs w:val="22"/>
                <w:lang w:val="en-US" w:eastAsia="en-US" w:bidi="ar-SA"/>
              </w:rPr>
              <w:t xml:space="preserve"> Companies</w:t>
            </w:r>
          </w:p>
          <w:p w:rsidR="00B76193" w:rsidRPr="00B76193" w:rsidP="00C54EB1">
            <w:pPr>
              <w:spacing w:before="48" w:beforeLines="20" w:after="48" w:afterLines="20" w:line="240" w:lineRule="auto"/>
              <w:rPr>
                <w:rStyle w:val="DefaultParagraphFont"/>
                <w:rFonts w:ascii="Arial" w:eastAsia="Times New Roman" w:hAnsi="Arial" w:cs="Arial"/>
                <w:i/>
                <w:sz w:val="20"/>
                <w:szCs w:val="22"/>
                <w:lang w:val="en-US" w:eastAsia="en-US" w:bidi="ar-SA"/>
              </w:rPr>
            </w:pPr>
            <w:r w:rsidRPr="00B76193">
              <w:rPr>
                <w:rFonts w:ascii="Arial" w:eastAsia="Times New Roman" w:hAnsi="Arial" w:cs="Arial"/>
                <w:i/>
                <w:sz w:val="20"/>
                <w:szCs w:val="22"/>
                <w:lang w:val="en-US" w:eastAsia="en-US" w:bidi="ar-SA"/>
              </w:rPr>
              <w:t>Technology platform provider</w:t>
            </w:r>
          </w:p>
        </w:tc>
        <w:tc>
          <w:tcPr>
            <w:tcW w:w="1920" w:type="dxa"/>
          </w:tcPr>
          <w:p w:rsidR="00534815" w:rsidRPr="00277717" w:rsidP="00132173">
            <w:pPr>
              <w:spacing w:before="48" w:beforeLines="20" w:after="48" w:afterLines="20" w:line="240" w:lineRule="auto"/>
              <w:jc w:val="right"/>
              <w:rPr>
                <w:rStyle w:val="DefaultParagraphFont"/>
                <w:rFonts w:ascii="Arial" w:eastAsia="Times New Roman" w:hAnsi="Arial" w:cs="Arial"/>
                <w:sz w:val="20"/>
                <w:szCs w:val="22"/>
                <w:lang w:val="en-US" w:eastAsia="en-US" w:bidi="ar-SA"/>
              </w:rPr>
            </w:pPr>
            <w:r w:rsidRPr="00E80D72">
              <w:rPr>
                <w:rFonts w:ascii="Arial" w:eastAsia="Times New Roman" w:hAnsi="Arial" w:cs="Arial"/>
                <w:sz w:val="20"/>
                <w:szCs w:val="22"/>
                <w:lang w:val="en-US" w:eastAsia="en-US" w:bidi="ar-SA"/>
              </w:rPr>
              <w:t>$65,240.00</w:t>
            </w:r>
          </w:p>
        </w:tc>
        <w:tc>
          <w:tcPr>
            <w:tcW w:w="3108" w:type="dxa"/>
            <w:tcBorders>
              <w:bottom w:val="single" w:sz="4" w:space="0" w:color="auto"/>
            </w:tcBorders>
          </w:tcPr>
          <w:p w:rsidR="00534815" w:rsidRPr="00277717" w:rsidP="00C54EB1">
            <w:pPr>
              <w:spacing w:before="48" w:beforeLines="20" w:after="48" w:afterLines="20" w:line="240" w:lineRule="auto"/>
              <w:rPr>
                <w:rStyle w:val="DefaultParagraphFont"/>
                <w:rFonts w:ascii="Arial" w:eastAsia="Times New Roman" w:hAnsi="Arial" w:cs="Arial"/>
                <w:sz w:val="20"/>
                <w:szCs w:val="22"/>
                <w:lang w:val="en-US" w:eastAsia="en-US" w:bidi="ar-SA"/>
              </w:rPr>
            </w:pPr>
            <w:r w:rsidRPr="00277717">
              <w:rPr>
                <w:rFonts w:ascii="Arial" w:eastAsia="Times New Roman" w:hAnsi="Arial" w:cs="Arial"/>
                <w:sz w:val="20"/>
                <w:szCs w:val="22"/>
                <w:lang w:val="en-US" w:eastAsia="en-US" w:bidi="ar-SA"/>
              </w:rPr>
              <w:t>Certified</w:t>
            </w:r>
            <w:r w:rsidR="00F67CD1">
              <w:rPr>
                <w:rFonts w:ascii="Arial" w:eastAsia="Times New Roman" w:hAnsi="Arial" w:cs="Arial"/>
                <w:sz w:val="20"/>
                <w:szCs w:val="22"/>
                <w:lang w:val="en-US" w:eastAsia="en-US" w:bidi="ar-SA"/>
              </w:rPr>
              <w:t xml:space="preserve"> Cost – License Agreement </w:t>
            </w:r>
            <w:r w:rsidRPr="00F67CD1" w:rsidR="00F67CD1">
              <w:rPr>
                <w:rFonts w:ascii="Arial" w:eastAsia="Times New Roman" w:hAnsi="Arial" w:cs="Arial"/>
                <w:i/>
                <w:sz w:val="20"/>
                <w:szCs w:val="22"/>
                <w:lang w:val="en-US" w:eastAsia="en-US" w:bidi="ar-SA"/>
              </w:rPr>
              <w:t>(Year 1)</w:t>
            </w:r>
          </w:p>
        </w:tc>
        <w:tc>
          <w:tcPr>
            <w:tcW w:w="2084" w:type="dxa"/>
            <w:tcBorders>
              <w:bottom w:val="single" w:sz="4" w:space="0" w:color="auto"/>
            </w:tcBorders>
          </w:tcPr>
          <w:p w:rsidR="00534815" w:rsidRPr="00277717" w:rsidP="00A82CE5">
            <w:pPr>
              <w:spacing w:before="48" w:beforeLines="20" w:after="48" w:afterLines="20" w:line="240" w:lineRule="auto"/>
              <w:rPr>
                <w:rStyle w:val="DefaultParagraphFont"/>
                <w:rFonts w:ascii="Arial" w:eastAsia="Times New Roman" w:hAnsi="Arial" w:cs="Arial"/>
                <w:sz w:val="20"/>
                <w:szCs w:val="22"/>
                <w:lang w:val="en-US" w:eastAsia="en-US" w:bidi="ar-SA"/>
              </w:rPr>
            </w:pPr>
            <w:r>
              <w:rPr>
                <w:rFonts w:ascii="Arial" w:eastAsia="Times New Roman" w:hAnsi="Arial" w:cs="Arial"/>
                <w:sz w:val="20"/>
                <w:szCs w:val="22"/>
                <w:lang w:val="en-US" w:eastAsia="en-US" w:bidi="ar-SA"/>
              </w:rPr>
              <w:t>December</w:t>
            </w:r>
            <w:r w:rsidR="00B6012A">
              <w:rPr>
                <w:rFonts w:ascii="Arial" w:eastAsia="Times New Roman" w:hAnsi="Arial" w:cs="Arial"/>
                <w:sz w:val="20"/>
                <w:szCs w:val="22"/>
                <w:lang w:val="en-US" w:eastAsia="en-US" w:bidi="ar-SA"/>
              </w:rPr>
              <w:t xml:space="preserve"> 2022 – </w:t>
            </w:r>
            <w:r>
              <w:rPr>
                <w:rFonts w:ascii="Arial" w:eastAsia="Times New Roman" w:hAnsi="Arial" w:cs="Arial"/>
                <w:sz w:val="20"/>
                <w:szCs w:val="22"/>
                <w:lang w:val="en-US" w:eastAsia="en-US" w:bidi="ar-SA"/>
              </w:rPr>
              <w:t>December</w:t>
            </w:r>
            <w:r w:rsidR="00B6012A">
              <w:rPr>
                <w:rFonts w:ascii="Arial" w:eastAsia="Times New Roman" w:hAnsi="Arial" w:cs="Arial"/>
                <w:sz w:val="20"/>
                <w:szCs w:val="22"/>
                <w:lang w:val="en-US" w:eastAsia="en-US" w:bidi="ar-SA"/>
              </w:rPr>
              <w:t xml:space="preserve"> </w:t>
            </w:r>
            <w:r w:rsidR="00F67CD1">
              <w:rPr>
                <w:rFonts w:ascii="Arial" w:eastAsia="Times New Roman" w:hAnsi="Arial" w:cs="Arial"/>
                <w:sz w:val="20"/>
                <w:szCs w:val="22"/>
                <w:lang w:val="en-US" w:eastAsia="en-US" w:bidi="ar-SA"/>
              </w:rPr>
              <w:t>2023</w:t>
            </w:r>
          </w:p>
        </w:tc>
      </w:tr>
      <w:tr w:rsidTr="00382292">
        <w:tblPrEx>
          <w:tblW w:w="9575" w:type="dxa"/>
          <w:tblInd w:w="0" w:type="dxa"/>
          <w:tblCellMar>
            <w:top w:w="0" w:type="dxa"/>
            <w:left w:w="108" w:type="dxa"/>
            <w:bottom w:w="0" w:type="dxa"/>
            <w:right w:w="108" w:type="dxa"/>
          </w:tblCellMar>
          <w:tblLook w:val="04A0"/>
        </w:tblPrEx>
        <w:trPr>
          <w:trHeight w:val="134"/>
        </w:trPr>
        <w:tc>
          <w:tcPr>
            <w:tcW w:w="2463" w:type="dxa"/>
            <w:shd w:val="clear" w:color="auto" w:fill="D9D9D9" w:themeFill="background1" w:themeFillShade="D9"/>
          </w:tcPr>
          <w:p w:rsidR="00132173" w:rsidRPr="00277717" w:rsidP="00C54EB1">
            <w:pPr>
              <w:spacing w:before="48" w:beforeLines="20" w:after="48" w:afterLines="20" w:line="240" w:lineRule="auto"/>
              <w:rPr>
                <w:rStyle w:val="DefaultParagraphFont"/>
                <w:rFonts w:ascii="Arial" w:eastAsia="Times New Roman" w:hAnsi="Arial" w:cs="Arial"/>
                <w:b/>
                <w:sz w:val="20"/>
                <w:szCs w:val="22"/>
                <w:lang w:val="en-US" w:eastAsia="en-US" w:bidi="ar-SA"/>
              </w:rPr>
            </w:pPr>
            <w:r>
              <w:rPr>
                <w:rFonts w:ascii="Arial" w:eastAsia="Times New Roman" w:hAnsi="Arial" w:cs="Arial"/>
                <w:b/>
                <w:sz w:val="20"/>
                <w:szCs w:val="22"/>
                <w:lang w:val="en-US" w:eastAsia="en-US" w:bidi="ar-SA"/>
              </w:rPr>
              <w:t>TOTAL</w:t>
            </w:r>
          </w:p>
        </w:tc>
        <w:tc>
          <w:tcPr>
            <w:tcW w:w="1920" w:type="dxa"/>
            <w:tcBorders>
              <w:right w:val="single" w:sz="4" w:space="0" w:color="auto"/>
            </w:tcBorders>
            <w:shd w:val="clear" w:color="auto" w:fill="D9D9D9" w:themeFill="background1" w:themeFillShade="D9"/>
          </w:tcPr>
          <w:p w:rsidR="00132173" w:rsidRPr="00277717" w:rsidP="00132173">
            <w:pPr>
              <w:spacing w:before="48" w:beforeLines="20" w:after="48" w:afterLines="20" w:line="240" w:lineRule="auto"/>
              <w:jc w:val="right"/>
              <w:rPr>
                <w:rStyle w:val="DefaultParagraphFont"/>
                <w:rFonts w:ascii="Arial" w:eastAsia="Times New Roman" w:hAnsi="Arial" w:cs="Arial"/>
                <w:sz w:val="20"/>
                <w:szCs w:val="22"/>
                <w:highlight w:val="yellow"/>
                <w:lang w:val="en-US" w:eastAsia="en-US" w:bidi="ar-SA"/>
              </w:rPr>
            </w:pPr>
            <w:r w:rsidRPr="00E80D72">
              <w:rPr>
                <w:rFonts w:ascii="Arial" w:eastAsia="Times New Roman" w:hAnsi="Arial" w:cs="Arial"/>
                <w:sz w:val="20"/>
                <w:szCs w:val="22"/>
                <w:lang w:val="en-US" w:eastAsia="en-US" w:bidi="ar-SA"/>
              </w:rPr>
              <w:t>$65,240.00</w:t>
            </w:r>
          </w:p>
        </w:tc>
        <w:tc>
          <w:tcPr>
            <w:tcW w:w="3108" w:type="dxa"/>
            <w:tcBorders>
              <w:top w:val="single" w:sz="4" w:space="0" w:color="auto"/>
              <w:left w:val="single" w:sz="4" w:space="0" w:color="auto"/>
              <w:bottom w:val="nil"/>
              <w:right w:val="nil"/>
            </w:tcBorders>
          </w:tcPr>
          <w:p w:rsidR="00132173" w:rsidRPr="00277717" w:rsidP="00C54EB1">
            <w:pPr>
              <w:spacing w:before="48" w:beforeLines="20" w:after="48" w:afterLines="20" w:line="240" w:lineRule="auto"/>
              <w:rPr>
                <w:rStyle w:val="DefaultParagraphFont"/>
                <w:rFonts w:ascii="Arial" w:eastAsia="Times New Roman" w:hAnsi="Arial" w:cs="Arial"/>
                <w:sz w:val="20"/>
                <w:szCs w:val="22"/>
                <w:lang w:val="en-US" w:eastAsia="en-US" w:bidi="ar-SA"/>
              </w:rPr>
            </w:pPr>
          </w:p>
        </w:tc>
        <w:tc>
          <w:tcPr>
            <w:tcW w:w="2084" w:type="dxa"/>
            <w:tcBorders>
              <w:top w:val="single" w:sz="4" w:space="0" w:color="auto"/>
              <w:left w:val="nil"/>
              <w:bottom w:val="nil"/>
              <w:right w:val="nil"/>
            </w:tcBorders>
          </w:tcPr>
          <w:p w:rsidR="00132173" w:rsidRPr="00277717" w:rsidP="00C54EB1">
            <w:pPr>
              <w:spacing w:before="48" w:beforeLines="20" w:after="48" w:afterLines="20" w:line="240" w:lineRule="auto"/>
              <w:rPr>
                <w:rStyle w:val="DefaultParagraphFont"/>
                <w:rFonts w:ascii="Arial" w:eastAsia="Times New Roman" w:hAnsi="Arial" w:cs="Arial"/>
                <w:sz w:val="20"/>
                <w:szCs w:val="22"/>
                <w:lang w:val="en-US" w:eastAsia="en-US" w:bidi="ar-SA"/>
              </w:rPr>
            </w:pPr>
          </w:p>
        </w:tc>
      </w:tr>
    </w:tbl>
    <w:p w:rsidR="00D109FD" w:rsidP="00D109FD">
      <w:pPr>
        <w:pStyle w:val="Heading2"/>
      </w:pPr>
    </w:p>
    <w:p w:rsidR="00A433C0" w:rsidRPr="00B156C3" w:rsidP="00A433C0">
      <w:pPr>
        <w:pStyle w:val="Heading2"/>
        <w:rPr>
          <w:rFonts w:eastAsia="Times New Roman"/>
        </w:rPr>
      </w:pPr>
      <w:bookmarkStart w:id="12" w:name="_Toc121478251"/>
      <w:r>
        <w:t xml:space="preserve">2.4. </w:t>
      </w:r>
      <w:r w:rsidRPr="00B156C3">
        <w:rPr>
          <w:rFonts w:eastAsia="Times New Roman"/>
        </w:rPr>
        <w:t xml:space="preserve">Technical, Strategy, Management, and Legal </w:t>
      </w:r>
      <w:r>
        <w:rPr>
          <w:rFonts w:eastAsia="Times New Roman"/>
        </w:rPr>
        <w:t xml:space="preserve">Consulting </w:t>
      </w:r>
      <w:r w:rsidRPr="00B156C3">
        <w:rPr>
          <w:rFonts w:eastAsia="Times New Roman"/>
        </w:rPr>
        <w:t>Expertise</w:t>
      </w:r>
      <w:bookmarkEnd w:id="12"/>
    </w:p>
    <w:p w:rsidR="00A433C0" w:rsidP="00A433C0">
      <w:r>
        <w:t>PIIC identified the need for consultants with special expertise and capacity to support the tribe in planning, procuring, and implementing the</w:t>
      </w:r>
      <w:r w:rsidR="00911D12">
        <w:t xml:space="preserve"> Net Zero</w:t>
      </w:r>
      <w:r>
        <w:t xml:space="preserve"> Project</w:t>
      </w:r>
      <w:r w:rsidR="00911D12">
        <w:t xml:space="preserve"> from Phase I through III (i.e., project completion). </w:t>
      </w:r>
      <w:r w:rsidR="00CA33D2">
        <w:t xml:space="preserve">PIIC selected and contracted with a team of consultants, including </w:t>
      </w:r>
      <w:r>
        <w:t>tec</w:t>
      </w:r>
      <w:r w:rsidR="00911D12">
        <w:t xml:space="preserve">hnical and strategy consultants: </w:t>
      </w:r>
      <w:r>
        <w:t>Indian Energy, NV5, and Chief Strategy Gro</w:t>
      </w:r>
      <w:r w:rsidR="00CA33D2">
        <w:t>up as well as</w:t>
      </w:r>
      <w:r>
        <w:t xml:space="preserve"> management and legal </w:t>
      </w:r>
      <w:r w:rsidR="00CA33D2">
        <w:t>consultants:</w:t>
      </w:r>
      <w:r>
        <w:t xml:space="preserve"> Quarles &amp; Brady and Winthrop &amp; Weinstine.</w:t>
      </w:r>
    </w:p>
    <w:p w:rsidR="00A433C0" w:rsidRPr="00122773" w:rsidP="000C694D">
      <w:pPr>
        <w:pStyle w:val="Caption"/>
        <w:rPr>
          <w:rFonts w:ascii="Calibri" w:eastAsia="Times New Roman" w:hAnsi="Calibri" w:cs="Calibri"/>
          <w:bCs/>
        </w:rPr>
      </w:pPr>
      <w:bookmarkStart w:id="13" w:name="_Toc121478263"/>
      <w:r>
        <w:t xml:space="preserve">Table </w:t>
      </w:r>
      <w:r>
        <w:fldChar w:fldCharType="begin"/>
      </w:r>
      <w:r>
        <w:instrText xml:space="preserve"> SEQ Table \* ARABIC </w:instrText>
      </w:r>
      <w:r>
        <w:fldChar w:fldCharType="separate"/>
      </w:r>
      <w:r>
        <w:t>4</w:t>
      </w:r>
      <w:r w:rsidR="0011479F">
        <w:rPr>
          <w:noProof/>
        </w:rPr>
        <w:fldChar w:fldCharType="end"/>
      </w:r>
      <w:r>
        <w:t>. Consulting Costs</w:t>
      </w:r>
      <w:bookmarkEnd w:id="13"/>
    </w:p>
    <w:tbl>
      <w:tblPr>
        <w:tblStyle w:val="TableGrid"/>
        <w:tblW w:w="92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373"/>
        <w:gridCol w:w="1585"/>
        <w:gridCol w:w="2697"/>
        <w:gridCol w:w="2570"/>
      </w:tblGrid>
      <w:tr w:rsidTr="00F7099E">
        <w:tblPrEx>
          <w:tblW w:w="92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454"/>
        </w:trPr>
        <w:tc>
          <w:tcPr>
            <w:tcW w:w="2373" w:type="dxa"/>
            <w:shd w:val="clear" w:color="auto" w:fill="D9D9D9" w:themeFill="background1" w:themeFillShade="D9"/>
          </w:tcPr>
          <w:p w:rsidR="00A433C0" w:rsidRPr="00200F5D" w:rsidP="00F7099E">
            <w:pPr>
              <w:spacing w:before="48" w:beforeLines="20" w:after="48" w:afterLines="20" w:line="240" w:lineRule="auto"/>
              <w:rPr>
                <w:rStyle w:val="DefaultParagraphFont"/>
                <w:rFonts w:ascii="Arial" w:eastAsia="Times New Roman" w:hAnsi="Arial" w:cs="Arial"/>
                <w:b/>
                <w:sz w:val="20"/>
                <w:szCs w:val="20"/>
                <w:lang w:val="en-US" w:eastAsia="en-US" w:bidi="ar-SA"/>
              </w:rPr>
            </w:pPr>
            <w:r w:rsidRPr="00200F5D">
              <w:rPr>
                <w:rFonts w:ascii="Arial" w:eastAsia="Times New Roman" w:hAnsi="Arial" w:cs="Arial"/>
                <w:b/>
                <w:sz w:val="20"/>
                <w:szCs w:val="20"/>
                <w:lang w:val="en-US" w:eastAsia="en-US" w:bidi="ar-SA"/>
              </w:rPr>
              <w:t>Company</w:t>
            </w:r>
          </w:p>
        </w:tc>
        <w:tc>
          <w:tcPr>
            <w:tcW w:w="1585" w:type="dxa"/>
            <w:shd w:val="clear" w:color="auto" w:fill="D9D9D9" w:themeFill="background1" w:themeFillShade="D9"/>
          </w:tcPr>
          <w:p w:rsidR="00A433C0" w:rsidRPr="00200F5D" w:rsidP="00F7099E">
            <w:pPr>
              <w:spacing w:before="48" w:beforeLines="20" w:after="48" w:afterLines="20" w:line="240" w:lineRule="auto"/>
              <w:rPr>
                <w:rStyle w:val="DefaultParagraphFont"/>
                <w:rFonts w:ascii="Arial" w:eastAsia="Times New Roman" w:hAnsi="Arial" w:cs="Arial"/>
                <w:b/>
                <w:sz w:val="20"/>
                <w:szCs w:val="20"/>
                <w:lang w:val="en-US" w:eastAsia="en-US" w:bidi="ar-SA"/>
              </w:rPr>
            </w:pPr>
            <w:r w:rsidRPr="00200F5D">
              <w:rPr>
                <w:rFonts w:ascii="Arial" w:eastAsia="Times New Roman" w:hAnsi="Arial" w:cs="Arial"/>
                <w:b/>
                <w:sz w:val="20"/>
                <w:szCs w:val="20"/>
                <w:lang w:val="en-US" w:eastAsia="en-US" w:bidi="ar-SA"/>
              </w:rPr>
              <w:t>Cost Amount</w:t>
            </w:r>
          </w:p>
        </w:tc>
        <w:tc>
          <w:tcPr>
            <w:tcW w:w="2697" w:type="dxa"/>
            <w:shd w:val="clear" w:color="auto" w:fill="D9D9D9" w:themeFill="background1" w:themeFillShade="D9"/>
          </w:tcPr>
          <w:p w:rsidR="00A433C0" w:rsidRPr="00200F5D" w:rsidP="00F7099E">
            <w:pPr>
              <w:spacing w:before="48" w:beforeLines="20" w:after="48" w:afterLines="20" w:line="240" w:lineRule="auto"/>
              <w:rPr>
                <w:rStyle w:val="DefaultParagraphFont"/>
                <w:rFonts w:ascii="Arial" w:eastAsia="Times New Roman" w:hAnsi="Arial" w:cs="Arial"/>
                <w:b/>
                <w:sz w:val="20"/>
                <w:szCs w:val="20"/>
                <w:lang w:val="en-US" w:eastAsia="en-US" w:bidi="ar-SA"/>
              </w:rPr>
            </w:pPr>
            <w:r w:rsidRPr="00200F5D">
              <w:rPr>
                <w:rFonts w:ascii="Arial" w:eastAsia="Times New Roman" w:hAnsi="Arial" w:cs="Arial"/>
                <w:b/>
                <w:sz w:val="20"/>
                <w:szCs w:val="20"/>
                <w:lang w:val="en-US" w:eastAsia="en-US" w:bidi="ar-SA"/>
              </w:rPr>
              <w:t>Cost Source</w:t>
            </w:r>
          </w:p>
        </w:tc>
        <w:tc>
          <w:tcPr>
            <w:tcW w:w="2570" w:type="dxa"/>
            <w:shd w:val="clear" w:color="auto" w:fill="D9D9D9" w:themeFill="background1" w:themeFillShade="D9"/>
          </w:tcPr>
          <w:p w:rsidR="00A433C0" w:rsidRPr="00200F5D" w:rsidP="00F7099E">
            <w:pPr>
              <w:spacing w:before="48" w:beforeLines="20" w:after="48" w:afterLines="20" w:line="240" w:lineRule="auto"/>
              <w:rPr>
                <w:rStyle w:val="DefaultParagraphFont"/>
                <w:rFonts w:ascii="Arial" w:eastAsia="Times New Roman" w:hAnsi="Arial" w:cs="Arial"/>
                <w:b/>
                <w:sz w:val="20"/>
                <w:szCs w:val="20"/>
                <w:lang w:val="en-US" w:eastAsia="en-US" w:bidi="ar-SA"/>
              </w:rPr>
            </w:pPr>
            <w:r w:rsidRPr="00200F5D">
              <w:rPr>
                <w:rFonts w:ascii="Arial" w:eastAsia="Times New Roman" w:hAnsi="Arial" w:cs="Arial"/>
                <w:b/>
                <w:sz w:val="20"/>
                <w:szCs w:val="20"/>
                <w:lang w:val="en-US" w:eastAsia="en-US" w:bidi="ar-SA"/>
              </w:rPr>
              <w:t>Relevant Dates</w:t>
            </w:r>
          </w:p>
        </w:tc>
      </w:tr>
      <w:tr w:rsidTr="00F7099E">
        <w:tblPrEx>
          <w:tblW w:w="9225" w:type="dxa"/>
          <w:tblInd w:w="0" w:type="dxa"/>
          <w:tblCellMar>
            <w:top w:w="0" w:type="dxa"/>
            <w:left w:w="108" w:type="dxa"/>
            <w:bottom w:w="0" w:type="dxa"/>
            <w:right w:w="108" w:type="dxa"/>
          </w:tblCellMar>
          <w:tblLook w:val="04A0"/>
        </w:tblPrEx>
        <w:trPr>
          <w:trHeight w:val="913"/>
        </w:trPr>
        <w:tc>
          <w:tcPr>
            <w:tcW w:w="2373" w:type="dxa"/>
            <w:vMerge w:val="restart"/>
          </w:tcPr>
          <w:p w:rsidR="00A433C0" w:rsidRPr="00200F5D" w:rsidP="00F7099E">
            <w:pPr>
              <w:spacing w:before="48" w:beforeLines="20" w:after="48" w:afterLines="20" w:line="240" w:lineRule="auto"/>
              <w:rPr>
                <w:rStyle w:val="DefaultParagraphFont"/>
                <w:rFonts w:ascii="Arial" w:eastAsia="Times New Roman" w:hAnsi="Arial" w:cs="Arial"/>
                <w:b/>
                <w:sz w:val="20"/>
                <w:szCs w:val="20"/>
                <w:lang w:val="en-US" w:eastAsia="en-US" w:bidi="ar-SA"/>
              </w:rPr>
            </w:pPr>
            <w:r w:rsidRPr="00200F5D">
              <w:rPr>
                <w:rFonts w:ascii="Arial" w:eastAsia="Times New Roman" w:hAnsi="Arial" w:cs="Arial"/>
                <w:b/>
                <w:sz w:val="20"/>
                <w:szCs w:val="20"/>
                <w:lang w:val="en-US" w:eastAsia="en-US" w:bidi="ar-SA"/>
              </w:rPr>
              <w:t>Indian Energy</w:t>
            </w:r>
          </w:p>
          <w:p w:rsidR="00A433C0" w:rsidRPr="00200F5D" w:rsidP="00F7099E">
            <w:pPr>
              <w:spacing w:before="48" w:beforeLines="20" w:after="48" w:afterLines="20" w:line="240" w:lineRule="auto"/>
              <w:rPr>
                <w:rStyle w:val="DefaultParagraphFont"/>
                <w:rFonts w:ascii="Arial" w:eastAsia="Times New Roman" w:hAnsi="Arial" w:cs="Arial"/>
                <w:i/>
                <w:sz w:val="20"/>
                <w:szCs w:val="20"/>
                <w:lang w:val="en-US" w:eastAsia="en-US" w:bidi="ar-SA"/>
              </w:rPr>
            </w:pPr>
            <w:r w:rsidRPr="00200F5D">
              <w:rPr>
                <w:rFonts w:ascii="Arial" w:eastAsia="Times New Roman" w:hAnsi="Arial" w:cs="Arial"/>
                <w:i/>
                <w:sz w:val="20"/>
                <w:szCs w:val="20"/>
                <w:lang w:val="en-US" w:eastAsia="en-US" w:bidi="ar-SA"/>
              </w:rPr>
              <w:t>Technical Consultant</w:t>
            </w:r>
            <w:r>
              <w:rPr>
                <w:rFonts w:ascii="Arial" w:eastAsia="Times New Roman" w:hAnsi="Arial" w:cs="Arial"/>
                <w:i/>
                <w:sz w:val="20"/>
                <w:szCs w:val="20"/>
                <w:lang w:val="en-US" w:eastAsia="en-US" w:bidi="ar-SA"/>
              </w:rPr>
              <w:t xml:space="preserve"> </w:t>
            </w:r>
          </w:p>
        </w:tc>
        <w:tc>
          <w:tcPr>
            <w:tcW w:w="1585" w:type="dxa"/>
          </w:tcPr>
          <w:p w:rsidR="00A433C0" w:rsidRPr="00200F5D" w:rsidP="004838D2">
            <w:pPr>
              <w:spacing w:before="48" w:beforeLines="20" w:after="48" w:afterLines="20" w:line="240" w:lineRule="auto"/>
              <w:jc w:val="right"/>
              <w:rPr>
                <w:rStyle w:val="DefaultParagraphFont"/>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$2,</w:t>
            </w:r>
            <w:r w:rsidR="004838D2">
              <w:rPr>
                <w:rFonts w:ascii="Arial" w:eastAsia="Times New Roman" w:hAnsi="Arial" w:cs="Arial"/>
                <w:sz w:val="20"/>
                <w:szCs w:val="20"/>
                <w:lang w:val="en-US" w:eastAsia="en-US" w:bidi="ar-SA"/>
              </w:rPr>
              <w:t>331,000.00</w:t>
            </w:r>
          </w:p>
        </w:tc>
        <w:tc>
          <w:tcPr>
            <w:tcW w:w="2697" w:type="dxa"/>
          </w:tcPr>
          <w:p w:rsidR="00A433C0" w:rsidRPr="00200F5D" w:rsidP="00F7099E">
            <w:pPr>
              <w:spacing w:before="48" w:beforeLines="20" w:after="48" w:afterLines="20" w:line="240" w:lineRule="auto"/>
              <w:rPr>
                <w:rStyle w:val="DefaultParagraphFont"/>
                <w:rFonts w:ascii="Arial" w:eastAsia="Times New Roman" w:hAnsi="Arial" w:cs="Arial"/>
                <w:sz w:val="20"/>
                <w:szCs w:val="20"/>
                <w:lang w:val="en-US" w:eastAsia="en-US" w:bidi="ar-SA"/>
              </w:rPr>
            </w:pPr>
            <w:r w:rsidRPr="00200F5D">
              <w:rPr>
                <w:rFonts w:ascii="Arial" w:eastAsia="Times New Roman" w:hAnsi="Arial" w:cs="Arial"/>
                <w:sz w:val="20"/>
                <w:szCs w:val="20"/>
                <w:lang w:val="en-US" w:eastAsia="en-US" w:bidi="ar-SA"/>
              </w:rPr>
              <w:t>Certified Cost - Service Agreement</w:t>
            </w:r>
            <w:r w:rsidRPr="00B66650">
              <w:rPr>
                <w:rFonts w:ascii="Arial" w:eastAsia="Times New Roman" w:hAnsi="Arial" w:cs="Arial"/>
                <w:i/>
                <w:sz w:val="20"/>
                <w:szCs w:val="20"/>
                <w:lang w:val="en-US" w:eastAsia="en-US" w:bidi="ar-SA"/>
              </w:rPr>
              <w:t xml:space="preserve"> (included NV5 and CSG costs through May 2022)</w:t>
            </w:r>
          </w:p>
        </w:tc>
        <w:tc>
          <w:tcPr>
            <w:tcW w:w="2570" w:type="dxa"/>
          </w:tcPr>
          <w:p w:rsidR="00A433C0" w:rsidRPr="00200F5D" w:rsidP="00F7099E">
            <w:pPr>
              <w:spacing w:before="48" w:beforeLines="20" w:after="48" w:afterLines="20" w:line="240" w:lineRule="auto"/>
              <w:rPr>
                <w:rStyle w:val="DefaultParagraphFont"/>
                <w:rFonts w:ascii="Arial" w:eastAsia="Times New Roman" w:hAnsi="Arial" w:cs="Arial"/>
                <w:sz w:val="20"/>
                <w:szCs w:val="20"/>
                <w:lang w:val="en-US" w:eastAsia="en-US" w:bidi="ar-SA"/>
              </w:rPr>
            </w:pPr>
            <w:r w:rsidRPr="00200F5D">
              <w:rPr>
                <w:rFonts w:ascii="Arial" w:eastAsia="Times New Roman" w:hAnsi="Arial" w:cs="Arial"/>
                <w:sz w:val="20"/>
                <w:szCs w:val="20"/>
                <w:lang w:val="en-US" w:eastAsia="en-US" w:bidi="ar-SA"/>
              </w:rPr>
              <w:t>January 2021 – May 2022</w:t>
            </w:r>
          </w:p>
        </w:tc>
      </w:tr>
      <w:tr w:rsidTr="00F7099E">
        <w:tblPrEx>
          <w:tblW w:w="9225" w:type="dxa"/>
          <w:tblInd w:w="0" w:type="dxa"/>
          <w:tblCellMar>
            <w:top w:w="0" w:type="dxa"/>
            <w:left w:w="108" w:type="dxa"/>
            <w:bottom w:w="0" w:type="dxa"/>
            <w:right w:w="108" w:type="dxa"/>
          </w:tblCellMar>
          <w:tblLook w:val="04A0"/>
        </w:tblPrEx>
        <w:trPr>
          <w:trHeight w:val="471"/>
        </w:trPr>
        <w:tc>
          <w:tcPr>
            <w:tcW w:w="2373" w:type="dxa"/>
            <w:vMerge/>
          </w:tcPr>
          <w:p w:rsidR="00906361" w:rsidRPr="00200F5D" w:rsidP="00F7099E">
            <w:pPr>
              <w:spacing w:before="48" w:beforeLines="20" w:after="48" w:afterLines="20" w:line="240" w:lineRule="auto"/>
              <w:rPr>
                <w:rStyle w:val="DefaultParagraphFont"/>
                <w:rFonts w:ascii="Arial" w:eastAsia="Times New Roman" w:hAnsi="Arial" w:cs="Arial"/>
                <w:b/>
                <w:sz w:val="20"/>
                <w:szCs w:val="20"/>
                <w:lang w:val="en-US" w:eastAsia="en-US" w:bidi="ar-SA"/>
              </w:rPr>
            </w:pPr>
          </w:p>
        </w:tc>
        <w:tc>
          <w:tcPr>
            <w:tcW w:w="1585" w:type="dxa"/>
          </w:tcPr>
          <w:p w:rsidR="00906361" w:rsidRPr="00200F5D" w:rsidP="00F7099E">
            <w:pPr>
              <w:spacing w:before="48" w:beforeLines="20" w:after="48" w:afterLines="20" w:line="240" w:lineRule="auto"/>
              <w:jc w:val="right"/>
              <w:rPr>
                <w:rStyle w:val="DefaultParagraphFont"/>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$95,667.00</w:t>
            </w:r>
          </w:p>
        </w:tc>
        <w:tc>
          <w:tcPr>
            <w:tcW w:w="2697" w:type="dxa"/>
          </w:tcPr>
          <w:p w:rsidR="00906361" w:rsidRPr="00200F5D" w:rsidP="00906361">
            <w:pPr>
              <w:spacing w:before="48" w:beforeLines="20" w:after="48" w:afterLines="20" w:line="240" w:lineRule="auto"/>
              <w:rPr>
                <w:rStyle w:val="DefaultParagraphFont"/>
                <w:rFonts w:ascii="Arial" w:eastAsia="Times New Roman" w:hAnsi="Arial" w:cs="Arial"/>
                <w:sz w:val="20"/>
                <w:szCs w:val="20"/>
                <w:lang w:val="en-US" w:eastAsia="en-US" w:bidi="ar-SA"/>
              </w:rPr>
            </w:pPr>
            <w:r w:rsidRPr="00200F5D">
              <w:rPr>
                <w:rFonts w:ascii="Arial" w:eastAsia="Times New Roman" w:hAnsi="Arial" w:cs="Arial"/>
                <w:sz w:val="20"/>
                <w:szCs w:val="20"/>
                <w:lang w:val="en-US" w:eastAsia="en-US" w:bidi="ar-SA"/>
              </w:rPr>
              <w:t>Certified Cost - Amended Service Agreement</w:t>
            </w:r>
            <w:r>
              <w:rPr>
                <w:rFonts w:ascii="Arial" w:eastAsia="Times New Roman" w:hAnsi="Arial" w:cs="Arial"/>
                <w:sz w:val="20"/>
                <w:szCs w:val="20"/>
                <w:lang w:val="en-US" w:eastAsia="en-US" w:bidi="ar-SA"/>
              </w:rPr>
              <w:t xml:space="preserve"> </w:t>
            </w:r>
            <w:r w:rsidRPr="00906361">
              <w:rPr>
                <w:rFonts w:ascii="Arial" w:eastAsia="Times New Roman" w:hAnsi="Arial" w:cs="Arial"/>
                <w:i/>
                <w:sz w:val="20"/>
                <w:szCs w:val="20"/>
                <w:lang w:val="en-US" w:eastAsia="en-US" w:bidi="ar-SA"/>
              </w:rPr>
              <w:t>(Change Order for work through May 31 costs)</w:t>
            </w:r>
          </w:p>
        </w:tc>
        <w:tc>
          <w:tcPr>
            <w:tcW w:w="2570" w:type="dxa"/>
          </w:tcPr>
          <w:p w:rsidR="00906361" w:rsidRPr="00200F5D" w:rsidP="00F7099E">
            <w:pPr>
              <w:spacing w:before="48" w:beforeLines="20" w:after="48" w:afterLines="20" w:line="240" w:lineRule="auto"/>
              <w:rPr>
                <w:rStyle w:val="DefaultParagraphFont"/>
                <w:rFonts w:ascii="Arial" w:eastAsia="Times New Roman" w:hAnsi="Arial" w:cs="Arial"/>
                <w:sz w:val="20"/>
                <w:szCs w:val="20"/>
                <w:lang w:val="en-US" w:eastAsia="en-US" w:bidi="ar-SA"/>
              </w:rPr>
            </w:pPr>
            <w:r w:rsidRPr="00200F5D">
              <w:rPr>
                <w:rFonts w:ascii="Arial" w:eastAsia="Times New Roman" w:hAnsi="Arial" w:cs="Arial"/>
                <w:sz w:val="20"/>
                <w:szCs w:val="20"/>
                <w:lang w:val="en-US" w:eastAsia="en-US" w:bidi="ar-SA"/>
              </w:rPr>
              <w:t>January 2021 – May 2022</w:t>
            </w:r>
          </w:p>
        </w:tc>
      </w:tr>
      <w:tr w:rsidTr="00F7099E">
        <w:tblPrEx>
          <w:tblW w:w="9225" w:type="dxa"/>
          <w:tblInd w:w="0" w:type="dxa"/>
          <w:tblCellMar>
            <w:top w:w="0" w:type="dxa"/>
            <w:left w:w="108" w:type="dxa"/>
            <w:bottom w:w="0" w:type="dxa"/>
            <w:right w:w="108" w:type="dxa"/>
          </w:tblCellMar>
          <w:tblLook w:val="04A0"/>
        </w:tblPrEx>
        <w:trPr>
          <w:trHeight w:val="471"/>
        </w:trPr>
        <w:tc>
          <w:tcPr>
            <w:tcW w:w="2373" w:type="dxa"/>
            <w:vMerge/>
          </w:tcPr>
          <w:p w:rsidR="00A433C0" w:rsidRPr="00200F5D" w:rsidP="00F7099E">
            <w:pPr>
              <w:spacing w:before="48" w:beforeLines="20" w:after="48" w:afterLines="20" w:line="240" w:lineRule="auto"/>
              <w:rPr>
                <w:rStyle w:val="DefaultParagraphFont"/>
                <w:rFonts w:ascii="Arial" w:eastAsia="Times New Roman" w:hAnsi="Arial" w:cs="Arial"/>
                <w:b/>
                <w:sz w:val="20"/>
                <w:szCs w:val="20"/>
                <w:lang w:val="en-US" w:eastAsia="en-US" w:bidi="ar-SA"/>
              </w:rPr>
            </w:pPr>
          </w:p>
        </w:tc>
        <w:tc>
          <w:tcPr>
            <w:tcW w:w="1585" w:type="dxa"/>
          </w:tcPr>
          <w:p w:rsidR="00A433C0" w:rsidRPr="00200F5D" w:rsidP="00F7099E">
            <w:pPr>
              <w:spacing w:before="48" w:beforeLines="20" w:after="48" w:afterLines="20" w:line="240" w:lineRule="auto"/>
              <w:jc w:val="right"/>
              <w:rPr>
                <w:rStyle w:val="DefaultParagraphFont"/>
                <w:rFonts w:ascii="Arial" w:eastAsia="Times New Roman" w:hAnsi="Arial" w:cs="Arial"/>
                <w:sz w:val="20"/>
                <w:szCs w:val="20"/>
                <w:lang w:val="en-US" w:eastAsia="en-US" w:bidi="ar-SA"/>
              </w:rPr>
            </w:pPr>
            <w:r w:rsidRPr="00200F5D">
              <w:rPr>
                <w:rFonts w:ascii="Arial" w:eastAsia="Times New Roman" w:hAnsi="Arial" w:cs="Arial"/>
                <w:sz w:val="20"/>
                <w:szCs w:val="20"/>
                <w:lang w:val="en-US" w:eastAsia="en-US" w:bidi="ar-SA"/>
              </w:rPr>
              <w:t>$</w:t>
            </w:r>
            <w:r>
              <w:rPr>
                <w:rFonts w:ascii="Arial" w:eastAsia="Times New Roman" w:hAnsi="Arial" w:cs="Arial"/>
                <w:sz w:val="20"/>
                <w:szCs w:val="20"/>
                <w:lang w:val="en-US" w:eastAsia="en-US" w:bidi="ar-SA"/>
              </w:rPr>
              <w:t>103,000.00</w:t>
            </w:r>
          </w:p>
        </w:tc>
        <w:tc>
          <w:tcPr>
            <w:tcW w:w="2697" w:type="dxa"/>
          </w:tcPr>
          <w:p w:rsidR="00A433C0" w:rsidRPr="00200F5D" w:rsidP="00F7099E">
            <w:pPr>
              <w:spacing w:before="48" w:beforeLines="20" w:after="48" w:afterLines="20" w:line="240" w:lineRule="auto"/>
              <w:rPr>
                <w:rStyle w:val="DefaultParagraphFont"/>
                <w:rFonts w:ascii="Arial" w:eastAsia="Times New Roman" w:hAnsi="Arial" w:cs="Arial"/>
                <w:sz w:val="20"/>
                <w:szCs w:val="20"/>
                <w:lang w:val="en-US" w:eastAsia="en-US" w:bidi="ar-SA"/>
              </w:rPr>
            </w:pPr>
            <w:r w:rsidRPr="00200F5D">
              <w:rPr>
                <w:rFonts w:ascii="Arial" w:eastAsia="Times New Roman" w:hAnsi="Arial" w:cs="Arial"/>
                <w:sz w:val="20"/>
                <w:szCs w:val="20"/>
                <w:lang w:val="en-US" w:eastAsia="en-US" w:bidi="ar-SA"/>
              </w:rPr>
              <w:t>Certified Cost - Amended Service Agreement</w:t>
            </w:r>
            <w:r w:rsidRPr="00906361" w:rsidR="00906361">
              <w:rPr>
                <w:rFonts w:ascii="Arial" w:eastAsia="Times New Roman" w:hAnsi="Arial" w:cs="Arial"/>
                <w:i/>
                <w:sz w:val="20"/>
                <w:szCs w:val="20"/>
                <w:lang w:val="en-US" w:eastAsia="en-US" w:bidi="ar-SA"/>
              </w:rPr>
              <w:t xml:space="preserve"> (Work beginning June 1 costs)</w:t>
            </w:r>
          </w:p>
        </w:tc>
        <w:tc>
          <w:tcPr>
            <w:tcW w:w="2570" w:type="dxa"/>
          </w:tcPr>
          <w:p w:rsidR="00A433C0" w:rsidRPr="00200F5D" w:rsidP="00F7099E">
            <w:pPr>
              <w:spacing w:before="48" w:beforeLines="20" w:after="48" w:afterLines="20" w:line="240" w:lineRule="auto"/>
              <w:rPr>
                <w:rStyle w:val="DefaultParagraphFont"/>
                <w:rFonts w:ascii="Arial" w:eastAsia="Times New Roman" w:hAnsi="Arial" w:cs="Arial"/>
                <w:sz w:val="20"/>
                <w:szCs w:val="20"/>
                <w:lang w:val="en-US" w:eastAsia="en-US" w:bidi="ar-SA"/>
              </w:rPr>
            </w:pPr>
            <w:r w:rsidRPr="00200F5D">
              <w:rPr>
                <w:rFonts w:ascii="Arial" w:eastAsia="Times New Roman" w:hAnsi="Arial" w:cs="Arial"/>
                <w:sz w:val="20"/>
                <w:szCs w:val="20"/>
                <w:lang w:val="en-US" w:eastAsia="en-US" w:bidi="ar-SA"/>
              </w:rPr>
              <w:t xml:space="preserve">June 2022 – Phase </w:t>
            </w:r>
            <w:r>
              <w:rPr>
                <w:rFonts w:ascii="Arial" w:eastAsia="Times New Roman" w:hAnsi="Arial" w:cs="Arial"/>
                <w:sz w:val="20"/>
                <w:szCs w:val="22"/>
                <w:lang w:val="en-US" w:eastAsia="en-US" w:bidi="ar-SA"/>
              </w:rPr>
              <w:t>III</w:t>
            </w:r>
            <w:r w:rsidRPr="00200F5D">
              <w:rPr>
                <w:rFonts w:ascii="Arial" w:eastAsia="Times New Roman" w:hAnsi="Arial" w:cs="Arial"/>
                <w:sz w:val="20"/>
                <w:szCs w:val="20"/>
                <w:lang w:val="en-US" w:eastAsia="en-US" w:bidi="ar-SA"/>
              </w:rPr>
              <w:t xml:space="preserve"> </w:t>
            </w:r>
          </w:p>
        </w:tc>
      </w:tr>
      <w:tr w:rsidTr="00F7099E">
        <w:tblPrEx>
          <w:tblW w:w="9225" w:type="dxa"/>
          <w:tblInd w:w="0" w:type="dxa"/>
          <w:tblCellMar>
            <w:top w:w="0" w:type="dxa"/>
            <w:left w:w="108" w:type="dxa"/>
            <w:bottom w:w="0" w:type="dxa"/>
            <w:right w:w="108" w:type="dxa"/>
          </w:tblCellMar>
          <w:tblLook w:val="04A0"/>
        </w:tblPrEx>
        <w:trPr>
          <w:trHeight w:val="454"/>
        </w:trPr>
        <w:tc>
          <w:tcPr>
            <w:tcW w:w="2373" w:type="dxa"/>
          </w:tcPr>
          <w:p w:rsidR="00A433C0" w:rsidRPr="00200F5D" w:rsidP="00F7099E">
            <w:pPr>
              <w:spacing w:before="48" w:beforeLines="20" w:after="48" w:afterLines="20" w:line="240" w:lineRule="auto"/>
              <w:rPr>
                <w:rStyle w:val="DefaultParagraphFont"/>
                <w:rFonts w:ascii="Arial" w:eastAsia="Times New Roman" w:hAnsi="Arial" w:cs="Arial"/>
                <w:b/>
                <w:sz w:val="20"/>
                <w:szCs w:val="20"/>
                <w:lang w:val="en-US" w:eastAsia="en-US" w:bidi="ar-SA"/>
              </w:rPr>
            </w:pPr>
            <w:r>
              <w:rPr>
                <w:rFonts w:ascii="Arial" w:eastAsia="Times New Roman" w:hAnsi="Arial" w:cs="Arial"/>
                <w:b/>
                <w:sz w:val="20"/>
                <w:szCs w:val="20"/>
                <w:lang w:val="en-US" w:eastAsia="en-US" w:bidi="ar-SA"/>
              </w:rPr>
              <w:t>Chief Strategy Group</w:t>
            </w:r>
          </w:p>
          <w:p w:rsidR="00A433C0" w:rsidRPr="00200F5D" w:rsidP="00F7099E">
            <w:pPr>
              <w:spacing w:before="48" w:beforeLines="20" w:after="48" w:afterLines="20" w:line="240" w:lineRule="auto"/>
              <w:rPr>
                <w:rStyle w:val="DefaultParagraphFont"/>
                <w:rFonts w:ascii="Arial" w:eastAsia="Times New Roman" w:hAnsi="Arial" w:cs="Arial"/>
                <w:b/>
                <w:sz w:val="20"/>
                <w:szCs w:val="20"/>
                <w:lang w:val="en-US" w:eastAsia="en-US" w:bidi="ar-SA"/>
              </w:rPr>
            </w:pPr>
            <w:r w:rsidRPr="00200F5D">
              <w:rPr>
                <w:rFonts w:ascii="Arial" w:eastAsia="Times New Roman" w:hAnsi="Arial" w:cs="Arial"/>
                <w:i/>
                <w:sz w:val="20"/>
                <w:szCs w:val="20"/>
                <w:lang w:val="en-US" w:eastAsia="en-US" w:bidi="ar-SA"/>
              </w:rPr>
              <w:t>Strategy Consultant</w:t>
            </w:r>
          </w:p>
        </w:tc>
        <w:tc>
          <w:tcPr>
            <w:tcW w:w="1585" w:type="dxa"/>
          </w:tcPr>
          <w:p w:rsidR="00A433C0" w:rsidRPr="00200F5D" w:rsidP="00F7099E">
            <w:pPr>
              <w:spacing w:before="48" w:beforeLines="20" w:after="48" w:afterLines="20" w:line="240" w:lineRule="auto"/>
              <w:jc w:val="right"/>
              <w:rPr>
                <w:rStyle w:val="DefaultParagraphFont"/>
                <w:rFonts w:ascii="Arial" w:eastAsia="Times New Roman" w:hAnsi="Arial" w:cs="Arial"/>
                <w:sz w:val="20"/>
                <w:szCs w:val="20"/>
                <w:lang w:val="en-US" w:eastAsia="en-US" w:bidi="ar-SA"/>
              </w:rPr>
            </w:pPr>
            <w:r w:rsidRPr="00200F5D">
              <w:rPr>
                <w:rFonts w:ascii="Arial" w:eastAsia="Times New Roman" w:hAnsi="Arial" w:cs="Arial"/>
                <w:sz w:val="20"/>
                <w:szCs w:val="20"/>
                <w:lang w:val="en-US" w:eastAsia="en-US" w:bidi="ar-SA"/>
              </w:rPr>
              <w:t>$</w:t>
            </w:r>
            <w:r w:rsidRPr="00B66650">
              <w:rPr>
                <w:rFonts w:ascii="Arial" w:eastAsia="Times New Roman" w:hAnsi="Arial" w:cs="Arial"/>
                <w:sz w:val="20"/>
                <w:szCs w:val="20"/>
                <w:lang w:val="en-US" w:eastAsia="en-US" w:bidi="ar-SA"/>
              </w:rPr>
              <w:t>176,565</w:t>
            </w:r>
            <w:r>
              <w:rPr>
                <w:rFonts w:ascii="Arial" w:eastAsia="Times New Roman" w:hAnsi="Arial" w:cs="Arial"/>
                <w:sz w:val="20"/>
                <w:szCs w:val="20"/>
                <w:lang w:val="en-US" w:eastAsia="en-US" w:bidi="ar-SA"/>
              </w:rPr>
              <w:t>.00</w:t>
            </w:r>
          </w:p>
        </w:tc>
        <w:tc>
          <w:tcPr>
            <w:tcW w:w="2697" w:type="dxa"/>
          </w:tcPr>
          <w:p w:rsidR="00A433C0" w:rsidRPr="00200F5D" w:rsidP="00F7099E">
            <w:pPr>
              <w:spacing w:before="48" w:beforeLines="20" w:after="48" w:afterLines="20" w:line="240" w:lineRule="auto"/>
              <w:rPr>
                <w:rStyle w:val="DefaultParagraphFont"/>
                <w:rFonts w:ascii="Arial" w:eastAsia="Times New Roman" w:hAnsi="Arial" w:cs="Arial"/>
                <w:sz w:val="20"/>
                <w:szCs w:val="20"/>
                <w:lang w:val="en-US" w:eastAsia="en-US" w:bidi="ar-SA"/>
              </w:rPr>
            </w:pPr>
            <w:r w:rsidRPr="00200F5D">
              <w:rPr>
                <w:rFonts w:ascii="Arial" w:eastAsia="Times New Roman" w:hAnsi="Arial" w:cs="Arial"/>
                <w:sz w:val="20"/>
                <w:szCs w:val="20"/>
                <w:lang w:val="en-US" w:eastAsia="en-US" w:bidi="ar-SA"/>
              </w:rPr>
              <w:t>Certified Cost - Service Agreement</w:t>
            </w:r>
          </w:p>
        </w:tc>
        <w:tc>
          <w:tcPr>
            <w:tcW w:w="2570" w:type="dxa"/>
          </w:tcPr>
          <w:p w:rsidR="00A433C0" w:rsidRPr="00200F5D" w:rsidP="00F7099E">
            <w:pPr>
              <w:spacing w:before="48" w:beforeLines="20" w:after="48" w:afterLines="20" w:line="240" w:lineRule="auto"/>
              <w:rPr>
                <w:rStyle w:val="DefaultParagraphFont"/>
                <w:rFonts w:ascii="Arial" w:eastAsia="Times New Roman" w:hAnsi="Arial" w:cs="Arial"/>
                <w:sz w:val="20"/>
                <w:szCs w:val="20"/>
                <w:lang w:val="en-US" w:eastAsia="en-US" w:bidi="ar-SA"/>
              </w:rPr>
            </w:pPr>
            <w:r w:rsidRPr="00200F5D">
              <w:rPr>
                <w:rFonts w:ascii="Arial" w:eastAsia="Times New Roman" w:hAnsi="Arial" w:cs="Arial"/>
                <w:sz w:val="20"/>
                <w:szCs w:val="20"/>
                <w:lang w:val="en-US" w:eastAsia="en-US" w:bidi="ar-SA"/>
              </w:rPr>
              <w:t xml:space="preserve">June 2022 – Phase </w:t>
            </w:r>
            <w:r>
              <w:rPr>
                <w:rFonts w:ascii="Arial" w:eastAsia="Times New Roman" w:hAnsi="Arial" w:cs="Arial"/>
                <w:sz w:val="20"/>
                <w:szCs w:val="22"/>
                <w:lang w:val="en-US" w:eastAsia="en-US" w:bidi="ar-SA"/>
              </w:rPr>
              <w:t>III</w:t>
            </w:r>
          </w:p>
        </w:tc>
      </w:tr>
      <w:tr w:rsidTr="00F7099E">
        <w:tblPrEx>
          <w:tblW w:w="9225" w:type="dxa"/>
          <w:tblInd w:w="0" w:type="dxa"/>
          <w:tblCellMar>
            <w:top w:w="0" w:type="dxa"/>
            <w:left w:w="108" w:type="dxa"/>
            <w:bottom w:w="0" w:type="dxa"/>
            <w:right w:w="108" w:type="dxa"/>
          </w:tblCellMar>
          <w:tblLook w:val="04A0"/>
        </w:tblPrEx>
        <w:trPr>
          <w:trHeight w:val="454"/>
        </w:trPr>
        <w:tc>
          <w:tcPr>
            <w:tcW w:w="2373" w:type="dxa"/>
            <w:vMerge w:val="restart"/>
          </w:tcPr>
          <w:p w:rsidR="00A433C0" w:rsidRPr="000115F6" w:rsidP="00F7099E">
            <w:pPr>
              <w:spacing w:before="48" w:beforeLines="20" w:after="48" w:afterLines="20" w:line="240" w:lineRule="auto"/>
              <w:rPr>
                <w:rStyle w:val="DefaultParagraphFont"/>
                <w:rFonts w:ascii="Arial" w:eastAsia="Times New Roman" w:hAnsi="Arial" w:cs="Arial"/>
                <w:b/>
                <w:sz w:val="20"/>
                <w:szCs w:val="20"/>
                <w:lang w:val="en-US" w:eastAsia="en-US" w:bidi="ar-SA"/>
              </w:rPr>
            </w:pPr>
            <w:r w:rsidRPr="000115F6">
              <w:rPr>
                <w:rFonts w:ascii="Arial" w:eastAsia="Times New Roman" w:hAnsi="Arial" w:cs="Arial"/>
                <w:b/>
                <w:sz w:val="20"/>
                <w:szCs w:val="20"/>
                <w:lang w:val="en-US" w:eastAsia="en-US" w:bidi="ar-SA"/>
              </w:rPr>
              <w:t>NV5 Inc.</w:t>
            </w:r>
          </w:p>
          <w:p w:rsidR="00A433C0" w:rsidRPr="000115F6" w:rsidP="00F7099E">
            <w:pPr>
              <w:spacing w:before="48" w:beforeLines="20" w:after="48" w:afterLines="20" w:line="240" w:lineRule="auto"/>
              <w:rPr>
                <w:rStyle w:val="DefaultParagraphFont"/>
                <w:rFonts w:ascii="Arial" w:eastAsia="Times New Roman" w:hAnsi="Arial" w:cs="Arial"/>
                <w:b/>
                <w:sz w:val="20"/>
                <w:szCs w:val="20"/>
                <w:lang w:val="en-US" w:eastAsia="en-US" w:bidi="ar-SA"/>
              </w:rPr>
            </w:pPr>
            <w:r w:rsidRPr="000115F6">
              <w:rPr>
                <w:rFonts w:ascii="Arial" w:eastAsia="Times New Roman" w:hAnsi="Arial" w:cs="Arial"/>
                <w:i/>
                <w:sz w:val="20"/>
                <w:szCs w:val="20"/>
                <w:lang w:val="en-US" w:eastAsia="en-US" w:bidi="ar-SA"/>
              </w:rPr>
              <w:t>Technical Consultant</w:t>
            </w:r>
            <w:r w:rsidRPr="000115F6">
              <w:rPr>
                <w:rFonts w:ascii="Arial" w:eastAsia="Times New Roman" w:hAnsi="Arial" w:cs="Arial"/>
                <w:b/>
                <w:sz w:val="20"/>
                <w:szCs w:val="20"/>
                <w:lang w:val="en-US" w:eastAsia="en-US" w:bidi="ar-SA"/>
              </w:rPr>
              <w:t xml:space="preserve"> </w:t>
            </w:r>
          </w:p>
        </w:tc>
        <w:tc>
          <w:tcPr>
            <w:tcW w:w="1585" w:type="dxa"/>
          </w:tcPr>
          <w:p w:rsidR="00A433C0" w:rsidRPr="000115F6" w:rsidP="00F7099E">
            <w:pPr>
              <w:spacing w:before="48" w:beforeLines="20" w:after="48" w:afterLines="20" w:line="240" w:lineRule="auto"/>
              <w:jc w:val="right"/>
              <w:rPr>
                <w:rStyle w:val="DefaultParagraphFont"/>
                <w:rFonts w:ascii="Arial" w:eastAsia="Times New Roman" w:hAnsi="Arial" w:cs="Arial"/>
                <w:sz w:val="20"/>
                <w:szCs w:val="20"/>
                <w:lang w:val="en-US" w:eastAsia="en-US" w:bidi="ar-SA"/>
              </w:rPr>
            </w:pPr>
            <w:r w:rsidRPr="000115F6">
              <w:rPr>
                <w:rFonts w:ascii="Arial" w:eastAsia="Times New Roman" w:hAnsi="Arial" w:cs="Arial"/>
                <w:sz w:val="20"/>
                <w:szCs w:val="20"/>
                <w:lang w:val="en-US" w:eastAsia="en-US" w:bidi="ar-SA"/>
              </w:rPr>
              <w:t>$640,545.00</w:t>
            </w:r>
          </w:p>
        </w:tc>
        <w:tc>
          <w:tcPr>
            <w:tcW w:w="2697" w:type="dxa"/>
          </w:tcPr>
          <w:p w:rsidR="00A433C0" w:rsidRPr="00200F5D" w:rsidP="00F7099E">
            <w:pPr>
              <w:spacing w:before="48" w:beforeLines="20" w:after="48" w:afterLines="20" w:line="240" w:lineRule="auto"/>
              <w:rPr>
                <w:rStyle w:val="DefaultParagraphFont"/>
                <w:rFonts w:ascii="Arial" w:eastAsia="Times New Roman" w:hAnsi="Arial" w:cs="Arial"/>
                <w:sz w:val="20"/>
                <w:szCs w:val="20"/>
                <w:lang w:val="en-US" w:eastAsia="en-US" w:bidi="ar-SA"/>
              </w:rPr>
            </w:pPr>
            <w:r w:rsidRPr="00200F5D">
              <w:rPr>
                <w:rFonts w:ascii="Arial" w:eastAsia="Times New Roman" w:hAnsi="Arial" w:cs="Arial"/>
                <w:sz w:val="20"/>
                <w:szCs w:val="20"/>
                <w:lang w:val="en-US" w:eastAsia="en-US" w:bidi="ar-SA"/>
              </w:rPr>
              <w:t>Certified Cost - Service Agreement</w:t>
            </w:r>
          </w:p>
        </w:tc>
        <w:tc>
          <w:tcPr>
            <w:tcW w:w="2570" w:type="dxa"/>
          </w:tcPr>
          <w:p w:rsidR="00A433C0" w:rsidRPr="00200F5D" w:rsidP="00F7099E">
            <w:pPr>
              <w:spacing w:before="48" w:beforeLines="20" w:after="48" w:afterLines="20" w:line="240" w:lineRule="auto"/>
              <w:rPr>
                <w:rStyle w:val="DefaultParagraphFont"/>
                <w:rFonts w:ascii="Arial" w:eastAsia="Times New Roman" w:hAnsi="Arial" w:cs="Arial"/>
                <w:sz w:val="20"/>
                <w:szCs w:val="20"/>
                <w:lang w:val="en-US" w:eastAsia="en-US" w:bidi="ar-SA"/>
              </w:rPr>
            </w:pPr>
            <w:r w:rsidRPr="00200F5D">
              <w:rPr>
                <w:rFonts w:ascii="Arial" w:eastAsia="Times New Roman" w:hAnsi="Arial" w:cs="Arial"/>
                <w:sz w:val="20"/>
                <w:szCs w:val="20"/>
                <w:lang w:val="en-US" w:eastAsia="en-US" w:bidi="ar-SA"/>
              </w:rPr>
              <w:t xml:space="preserve">June 2022 – Phase </w:t>
            </w:r>
            <w:r>
              <w:rPr>
                <w:rFonts w:ascii="Arial" w:eastAsia="Times New Roman" w:hAnsi="Arial" w:cs="Arial"/>
                <w:sz w:val="20"/>
                <w:szCs w:val="22"/>
                <w:lang w:val="en-US" w:eastAsia="en-US" w:bidi="ar-SA"/>
              </w:rPr>
              <w:t>III</w:t>
            </w:r>
            <w:r w:rsidRPr="00200F5D">
              <w:rPr>
                <w:rFonts w:ascii="Arial" w:eastAsia="Times New Roman" w:hAnsi="Arial" w:cs="Arial"/>
                <w:sz w:val="20"/>
                <w:szCs w:val="20"/>
                <w:lang w:val="en-US" w:eastAsia="en-US" w:bidi="ar-SA"/>
              </w:rPr>
              <w:t xml:space="preserve"> </w:t>
            </w:r>
          </w:p>
        </w:tc>
      </w:tr>
      <w:tr w:rsidTr="00F7099E">
        <w:tblPrEx>
          <w:tblW w:w="9225" w:type="dxa"/>
          <w:tblInd w:w="0" w:type="dxa"/>
          <w:tblCellMar>
            <w:top w:w="0" w:type="dxa"/>
            <w:left w:w="108" w:type="dxa"/>
            <w:bottom w:w="0" w:type="dxa"/>
            <w:right w:w="108" w:type="dxa"/>
          </w:tblCellMar>
          <w:tblLook w:val="04A0"/>
        </w:tblPrEx>
        <w:trPr>
          <w:trHeight w:val="454"/>
        </w:trPr>
        <w:tc>
          <w:tcPr>
            <w:tcW w:w="2373" w:type="dxa"/>
            <w:vMerge/>
          </w:tcPr>
          <w:p w:rsidR="00A433C0" w:rsidRPr="000115F6" w:rsidP="00F7099E">
            <w:pPr>
              <w:spacing w:before="48" w:beforeLines="20" w:after="48" w:afterLines="20" w:line="240" w:lineRule="auto"/>
              <w:rPr>
                <w:rStyle w:val="DefaultParagraphFont"/>
                <w:rFonts w:ascii="Arial" w:eastAsia="Times New Roman" w:hAnsi="Arial" w:cs="Arial"/>
                <w:b/>
                <w:sz w:val="20"/>
                <w:szCs w:val="20"/>
                <w:lang w:val="en-US" w:eastAsia="en-US" w:bidi="ar-SA"/>
              </w:rPr>
            </w:pPr>
          </w:p>
        </w:tc>
        <w:tc>
          <w:tcPr>
            <w:tcW w:w="1585" w:type="dxa"/>
          </w:tcPr>
          <w:p w:rsidR="00A433C0" w:rsidRPr="000115F6" w:rsidP="00F7099E">
            <w:pPr>
              <w:spacing w:before="48" w:beforeLines="20" w:after="48" w:afterLines="20" w:line="240" w:lineRule="auto"/>
              <w:jc w:val="right"/>
              <w:rPr>
                <w:rStyle w:val="DefaultParagraphFont"/>
                <w:rFonts w:ascii="Arial" w:eastAsia="Times New Roman" w:hAnsi="Arial" w:cs="Arial"/>
                <w:sz w:val="20"/>
                <w:szCs w:val="20"/>
                <w:lang w:val="en-US" w:eastAsia="en-US" w:bidi="ar-SA"/>
              </w:rPr>
            </w:pPr>
            <w:r w:rsidRPr="000115F6">
              <w:rPr>
                <w:rFonts w:ascii="Arial" w:eastAsia="Times New Roman" w:hAnsi="Arial" w:cs="Arial"/>
                <w:sz w:val="20"/>
                <w:szCs w:val="20"/>
                <w:lang w:val="en-US" w:eastAsia="en-US" w:bidi="ar-SA"/>
              </w:rPr>
              <w:t>$1,000,000.00</w:t>
            </w:r>
          </w:p>
        </w:tc>
        <w:tc>
          <w:tcPr>
            <w:tcW w:w="2697" w:type="dxa"/>
          </w:tcPr>
          <w:p w:rsidR="00A433C0" w:rsidRPr="00200F5D" w:rsidP="00F7099E">
            <w:pPr>
              <w:spacing w:before="48" w:beforeLines="20" w:after="48" w:afterLines="20" w:line="240" w:lineRule="auto"/>
              <w:rPr>
                <w:rStyle w:val="DefaultParagraphFont"/>
                <w:rFonts w:ascii="Arial" w:eastAsia="Times New Roman" w:hAnsi="Arial" w:cs="Arial"/>
                <w:sz w:val="20"/>
                <w:szCs w:val="20"/>
                <w:lang w:val="en-US" w:eastAsia="en-US" w:bidi="ar-SA"/>
              </w:rPr>
            </w:pPr>
            <w:r w:rsidRPr="00200F5D">
              <w:rPr>
                <w:rFonts w:ascii="Arial" w:eastAsia="Times New Roman" w:hAnsi="Arial" w:cs="Arial"/>
                <w:sz w:val="20"/>
                <w:szCs w:val="20"/>
                <w:lang w:val="en-US" w:eastAsia="en-US" w:bidi="ar-SA"/>
              </w:rPr>
              <w:t>Certified Cost - Amended Service Agreement</w:t>
            </w:r>
          </w:p>
        </w:tc>
        <w:tc>
          <w:tcPr>
            <w:tcW w:w="2570" w:type="dxa"/>
          </w:tcPr>
          <w:p w:rsidR="00A433C0" w:rsidRPr="00200F5D" w:rsidP="00F7099E">
            <w:pPr>
              <w:spacing w:before="48" w:beforeLines="20" w:after="48" w:afterLines="20" w:line="240" w:lineRule="auto"/>
              <w:rPr>
                <w:rStyle w:val="DefaultParagraphFont"/>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November</w:t>
            </w:r>
            <w:r w:rsidRPr="00200F5D">
              <w:rPr>
                <w:rFonts w:ascii="Arial" w:eastAsia="Times New Roman" w:hAnsi="Arial" w:cs="Arial"/>
                <w:sz w:val="20"/>
                <w:szCs w:val="20"/>
                <w:lang w:val="en-US" w:eastAsia="en-US" w:bidi="ar-SA"/>
              </w:rPr>
              <w:t xml:space="preserve"> 2022 – Phase </w:t>
            </w:r>
            <w:r>
              <w:rPr>
                <w:rFonts w:ascii="Arial" w:eastAsia="Times New Roman" w:hAnsi="Arial" w:cs="Arial"/>
                <w:sz w:val="20"/>
                <w:szCs w:val="22"/>
                <w:lang w:val="en-US" w:eastAsia="en-US" w:bidi="ar-SA"/>
              </w:rPr>
              <w:t>III</w:t>
            </w:r>
            <w:r w:rsidRPr="00200F5D">
              <w:rPr>
                <w:rFonts w:ascii="Arial" w:eastAsia="Times New Roman" w:hAnsi="Arial" w:cs="Arial"/>
                <w:sz w:val="20"/>
                <w:szCs w:val="20"/>
                <w:lang w:val="en-US" w:eastAsia="en-US" w:bidi="ar-SA"/>
              </w:rPr>
              <w:t xml:space="preserve"> </w:t>
            </w:r>
          </w:p>
        </w:tc>
      </w:tr>
      <w:tr w:rsidTr="00F7099E">
        <w:tblPrEx>
          <w:tblW w:w="9225" w:type="dxa"/>
          <w:tblInd w:w="0" w:type="dxa"/>
          <w:tblCellMar>
            <w:top w:w="0" w:type="dxa"/>
            <w:left w:w="108" w:type="dxa"/>
            <w:bottom w:w="0" w:type="dxa"/>
            <w:right w:w="108" w:type="dxa"/>
          </w:tblCellMar>
          <w:tblLook w:val="04A0"/>
        </w:tblPrEx>
        <w:trPr>
          <w:trHeight w:val="244"/>
        </w:trPr>
        <w:tc>
          <w:tcPr>
            <w:tcW w:w="2373" w:type="dxa"/>
            <w:vMerge w:val="restart"/>
          </w:tcPr>
          <w:p w:rsidR="00A433C0" w:rsidRPr="00200F5D" w:rsidP="00F7099E">
            <w:pPr>
              <w:spacing w:before="48" w:beforeLines="20" w:after="48" w:afterLines="20" w:line="240" w:lineRule="auto"/>
              <w:rPr>
                <w:rStyle w:val="DefaultParagraphFont"/>
                <w:rFonts w:ascii="Arial" w:eastAsia="Times New Roman" w:hAnsi="Arial" w:cs="Arial"/>
                <w:b/>
                <w:sz w:val="20"/>
                <w:szCs w:val="20"/>
                <w:lang w:val="en-US" w:eastAsia="en-US" w:bidi="ar-SA"/>
              </w:rPr>
            </w:pPr>
            <w:r w:rsidRPr="00200F5D">
              <w:rPr>
                <w:rFonts w:ascii="Arial" w:eastAsia="Times New Roman" w:hAnsi="Arial" w:cs="Arial"/>
                <w:b/>
                <w:sz w:val="20"/>
                <w:szCs w:val="20"/>
                <w:lang w:val="en-US" w:eastAsia="en-US" w:bidi="ar-SA"/>
              </w:rPr>
              <w:t>Quarles &amp; Brady</w:t>
            </w:r>
          </w:p>
          <w:p w:rsidR="00A433C0" w:rsidRPr="00200F5D" w:rsidP="00F7099E">
            <w:pPr>
              <w:spacing w:before="48" w:beforeLines="20" w:after="48" w:afterLines="20" w:line="240" w:lineRule="auto"/>
              <w:rPr>
                <w:rStyle w:val="DefaultParagraphFont"/>
                <w:rFonts w:ascii="Arial" w:eastAsia="Times New Roman" w:hAnsi="Arial" w:cs="Arial"/>
                <w:i/>
                <w:sz w:val="20"/>
                <w:szCs w:val="20"/>
                <w:lang w:val="en-US" w:eastAsia="en-US" w:bidi="ar-SA"/>
              </w:rPr>
            </w:pPr>
            <w:r w:rsidRPr="00200F5D">
              <w:rPr>
                <w:rFonts w:ascii="Arial" w:eastAsia="Times New Roman" w:hAnsi="Arial" w:cs="Arial"/>
                <w:i/>
                <w:sz w:val="20"/>
                <w:szCs w:val="20"/>
                <w:lang w:val="en-US" w:eastAsia="en-US" w:bidi="ar-SA"/>
              </w:rPr>
              <w:t>Legal Consultant</w:t>
            </w:r>
          </w:p>
        </w:tc>
        <w:tc>
          <w:tcPr>
            <w:tcW w:w="1585" w:type="dxa"/>
          </w:tcPr>
          <w:p w:rsidR="00A433C0" w:rsidRPr="00200F5D" w:rsidP="00F7099E">
            <w:pPr>
              <w:spacing w:before="48" w:beforeLines="20" w:after="48" w:afterLines="20" w:line="240" w:lineRule="auto"/>
              <w:jc w:val="right"/>
              <w:rPr>
                <w:rStyle w:val="DefaultParagraphFont"/>
                <w:rFonts w:ascii="Arial" w:eastAsia="Times New Roman" w:hAnsi="Arial" w:cs="Arial"/>
                <w:sz w:val="20"/>
                <w:szCs w:val="20"/>
                <w:lang w:val="en-US" w:eastAsia="en-US" w:bidi="ar-SA"/>
              </w:rPr>
            </w:pPr>
            <w:r w:rsidRPr="00200F5D">
              <w:rPr>
                <w:rFonts w:ascii="Arial" w:eastAsia="Times New Roman" w:hAnsi="Arial" w:cs="Arial"/>
                <w:sz w:val="20"/>
                <w:szCs w:val="20"/>
                <w:lang w:val="en-US" w:eastAsia="en-US" w:bidi="ar-SA"/>
              </w:rPr>
              <w:t>$</w:t>
            </w:r>
            <w:r w:rsidRPr="00B66650">
              <w:rPr>
                <w:rFonts w:ascii="Arial" w:eastAsia="Times New Roman" w:hAnsi="Arial" w:cs="Arial"/>
                <w:sz w:val="20"/>
                <w:szCs w:val="20"/>
                <w:lang w:val="en-US" w:eastAsia="en-US" w:bidi="ar-SA"/>
              </w:rPr>
              <w:t>194,023</w:t>
            </w:r>
            <w:r w:rsidR="00D656EE">
              <w:rPr>
                <w:rFonts w:ascii="Arial" w:eastAsia="Times New Roman" w:hAnsi="Arial" w:cs="Arial"/>
                <w:sz w:val="20"/>
                <w:szCs w:val="20"/>
                <w:lang w:val="en-US" w:eastAsia="en-US" w:bidi="ar-SA"/>
              </w:rPr>
              <w:t>.16</w:t>
            </w:r>
          </w:p>
        </w:tc>
        <w:tc>
          <w:tcPr>
            <w:tcW w:w="2697" w:type="dxa"/>
          </w:tcPr>
          <w:p w:rsidR="00A433C0" w:rsidRPr="00200F5D" w:rsidP="00F7099E">
            <w:pPr>
              <w:spacing w:before="48" w:beforeLines="20" w:after="48" w:afterLines="20" w:line="240" w:lineRule="auto"/>
              <w:rPr>
                <w:rStyle w:val="DefaultParagraphFont"/>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Legal Engagement Letter</w:t>
            </w:r>
            <w:r w:rsidR="00F64957">
              <w:rPr>
                <w:rFonts w:ascii="Arial" w:eastAsia="Times New Roman" w:hAnsi="Arial" w:cs="Arial"/>
                <w:sz w:val="20"/>
                <w:szCs w:val="20"/>
                <w:lang w:val="en-US" w:eastAsia="en-US" w:bidi="ar-SA"/>
              </w:rPr>
              <w:t xml:space="preserve"> &amp; Actual Expenditures</w:t>
            </w:r>
          </w:p>
        </w:tc>
        <w:tc>
          <w:tcPr>
            <w:tcW w:w="2570" w:type="dxa"/>
          </w:tcPr>
          <w:p w:rsidR="00A433C0" w:rsidRPr="00200F5D" w:rsidP="00F7099E">
            <w:pPr>
              <w:spacing w:before="48" w:beforeLines="20" w:after="48" w:afterLines="20" w:line="240" w:lineRule="auto"/>
              <w:rPr>
                <w:rStyle w:val="DefaultParagraphFont"/>
                <w:rFonts w:ascii="Arial" w:eastAsia="Times New Roman" w:hAnsi="Arial" w:cs="Arial"/>
                <w:sz w:val="20"/>
                <w:szCs w:val="20"/>
                <w:lang w:val="en-US" w:eastAsia="en-US" w:bidi="ar-SA"/>
              </w:rPr>
            </w:pPr>
            <w:r w:rsidRPr="00200F5D">
              <w:rPr>
                <w:rFonts w:ascii="Arial" w:eastAsia="Times New Roman" w:hAnsi="Arial" w:cs="Arial"/>
                <w:sz w:val="20"/>
                <w:szCs w:val="20"/>
                <w:lang w:val="en-US" w:eastAsia="en-US" w:bidi="ar-SA"/>
              </w:rPr>
              <w:t>July 2021 – July 2022</w:t>
            </w:r>
          </w:p>
        </w:tc>
      </w:tr>
      <w:tr w:rsidTr="00F7099E">
        <w:tblPrEx>
          <w:tblW w:w="9225" w:type="dxa"/>
          <w:tblInd w:w="0" w:type="dxa"/>
          <w:tblCellMar>
            <w:top w:w="0" w:type="dxa"/>
            <w:left w:w="108" w:type="dxa"/>
            <w:bottom w:w="0" w:type="dxa"/>
            <w:right w:w="108" w:type="dxa"/>
          </w:tblCellMar>
          <w:tblLook w:val="04A0"/>
        </w:tblPrEx>
        <w:trPr>
          <w:trHeight w:val="471"/>
        </w:trPr>
        <w:tc>
          <w:tcPr>
            <w:tcW w:w="2373" w:type="dxa"/>
            <w:vMerge/>
          </w:tcPr>
          <w:p w:rsidR="00A433C0" w:rsidRPr="00200F5D" w:rsidP="00F7099E">
            <w:pPr>
              <w:spacing w:before="48" w:beforeLines="20" w:after="48" w:afterLines="20" w:line="240" w:lineRule="auto"/>
              <w:rPr>
                <w:rStyle w:val="DefaultParagraphFont"/>
                <w:rFonts w:ascii="Arial" w:eastAsia="Times New Roman" w:hAnsi="Arial" w:cs="Arial"/>
                <w:b/>
                <w:sz w:val="20"/>
                <w:szCs w:val="20"/>
                <w:lang w:val="en-US" w:eastAsia="en-US" w:bidi="ar-SA"/>
              </w:rPr>
            </w:pPr>
          </w:p>
        </w:tc>
        <w:tc>
          <w:tcPr>
            <w:tcW w:w="1585" w:type="dxa"/>
          </w:tcPr>
          <w:p w:rsidR="00A433C0" w:rsidRPr="00200F5D" w:rsidP="00F7099E">
            <w:pPr>
              <w:spacing w:before="48" w:beforeLines="20" w:after="48" w:afterLines="20" w:line="240" w:lineRule="auto"/>
              <w:jc w:val="right"/>
              <w:rPr>
                <w:rStyle w:val="DefaultParagraphFont"/>
                <w:rFonts w:ascii="Arial" w:eastAsia="Times New Roman" w:hAnsi="Arial" w:cs="Arial"/>
                <w:sz w:val="20"/>
                <w:szCs w:val="20"/>
                <w:lang w:val="en-US" w:eastAsia="en-US" w:bidi="ar-SA"/>
              </w:rPr>
            </w:pPr>
            <w:r w:rsidRPr="00200F5D">
              <w:rPr>
                <w:rFonts w:ascii="Arial" w:eastAsia="Times New Roman" w:hAnsi="Arial" w:cs="Arial"/>
                <w:sz w:val="20"/>
                <w:szCs w:val="20"/>
                <w:lang w:val="en-US" w:eastAsia="en-US" w:bidi="ar-SA"/>
              </w:rPr>
              <w:t>$</w:t>
            </w:r>
            <w:r w:rsidRPr="00B66650">
              <w:rPr>
                <w:rFonts w:ascii="Arial" w:eastAsia="Times New Roman" w:hAnsi="Arial" w:cs="Arial"/>
                <w:sz w:val="20"/>
                <w:szCs w:val="20"/>
                <w:lang w:val="en-US" w:eastAsia="en-US" w:bidi="ar-SA"/>
              </w:rPr>
              <w:t>152,575</w:t>
            </w:r>
            <w:r>
              <w:rPr>
                <w:rFonts w:ascii="Arial" w:eastAsia="Times New Roman" w:hAnsi="Arial" w:cs="Arial"/>
                <w:sz w:val="20"/>
                <w:szCs w:val="20"/>
                <w:lang w:val="en-US" w:eastAsia="en-US" w:bidi="ar-SA"/>
              </w:rPr>
              <w:t>.00</w:t>
            </w:r>
          </w:p>
        </w:tc>
        <w:tc>
          <w:tcPr>
            <w:tcW w:w="2697" w:type="dxa"/>
            <w:tcBorders>
              <w:bottom w:val="single" w:sz="4" w:space="0" w:color="auto"/>
            </w:tcBorders>
          </w:tcPr>
          <w:p w:rsidR="00A433C0" w:rsidRPr="00200F5D" w:rsidP="00F7099E">
            <w:pPr>
              <w:spacing w:before="48" w:beforeLines="20" w:after="48" w:afterLines="20" w:line="240" w:lineRule="auto"/>
              <w:rPr>
                <w:rStyle w:val="DefaultParagraphFont"/>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Legal Engagement Letter</w:t>
            </w:r>
            <w:r w:rsidR="00F64957">
              <w:rPr>
                <w:rFonts w:ascii="Arial" w:eastAsia="Times New Roman" w:hAnsi="Arial" w:cs="Arial"/>
                <w:sz w:val="20"/>
                <w:szCs w:val="20"/>
                <w:lang w:val="en-US" w:eastAsia="en-US" w:bidi="ar-SA"/>
              </w:rPr>
              <w:t xml:space="preserve"> &amp; </w:t>
            </w:r>
            <w:r w:rsidRPr="00200F5D" w:rsidR="00F64957">
              <w:rPr>
                <w:rFonts w:ascii="Arial" w:eastAsia="Times New Roman" w:hAnsi="Arial" w:cs="Arial"/>
                <w:sz w:val="20"/>
                <w:szCs w:val="20"/>
                <w:lang w:val="en-US" w:eastAsia="en-US" w:bidi="ar-SA"/>
              </w:rPr>
              <w:t>Certified Cost – Budget Memo</w:t>
            </w:r>
          </w:p>
        </w:tc>
        <w:tc>
          <w:tcPr>
            <w:tcW w:w="2570" w:type="dxa"/>
            <w:tcBorders>
              <w:bottom w:val="single" w:sz="4" w:space="0" w:color="auto"/>
            </w:tcBorders>
          </w:tcPr>
          <w:p w:rsidR="00A433C0" w:rsidRPr="00200F5D" w:rsidP="00F7099E">
            <w:pPr>
              <w:spacing w:before="48" w:beforeLines="20" w:after="48" w:afterLines="20" w:line="240" w:lineRule="auto"/>
              <w:rPr>
                <w:rStyle w:val="DefaultParagraphFont"/>
                <w:rFonts w:ascii="Arial" w:eastAsia="Times New Roman" w:hAnsi="Arial" w:cs="Arial"/>
                <w:sz w:val="20"/>
                <w:szCs w:val="20"/>
                <w:lang w:val="en-US" w:eastAsia="en-US" w:bidi="ar-SA"/>
              </w:rPr>
            </w:pPr>
            <w:r w:rsidRPr="00200F5D">
              <w:rPr>
                <w:rFonts w:ascii="Arial" w:eastAsia="Times New Roman" w:hAnsi="Arial" w:cs="Arial"/>
                <w:sz w:val="20"/>
                <w:szCs w:val="20"/>
                <w:lang w:val="en-US" w:eastAsia="en-US" w:bidi="ar-SA"/>
              </w:rPr>
              <w:t xml:space="preserve">August 2022 – Phase </w:t>
            </w:r>
            <w:r>
              <w:rPr>
                <w:rFonts w:ascii="Arial" w:eastAsia="Times New Roman" w:hAnsi="Arial" w:cs="Arial"/>
                <w:sz w:val="20"/>
                <w:szCs w:val="22"/>
                <w:lang w:val="en-US" w:eastAsia="en-US" w:bidi="ar-SA"/>
              </w:rPr>
              <w:t>III</w:t>
            </w:r>
          </w:p>
        </w:tc>
      </w:tr>
      <w:tr w:rsidTr="00F7099E">
        <w:tblPrEx>
          <w:tblW w:w="9225" w:type="dxa"/>
          <w:tblInd w:w="0" w:type="dxa"/>
          <w:tblCellMar>
            <w:top w:w="0" w:type="dxa"/>
            <w:left w:w="108" w:type="dxa"/>
            <w:bottom w:w="0" w:type="dxa"/>
            <w:right w:w="108" w:type="dxa"/>
          </w:tblCellMar>
          <w:tblLook w:val="04A0"/>
        </w:tblPrEx>
        <w:trPr>
          <w:trHeight w:val="505"/>
        </w:trPr>
        <w:tc>
          <w:tcPr>
            <w:tcW w:w="2373" w:type="dxa"/>
            <w:tcBorders>
              <w:bottom w:val="single" w:sz="4" w:space="0" w:color="auto"/>
            </w:tcBorders>
          </w:tcPr>
          <w:p w:rsidR="00A433C0" w:rsidRPr="00200F5D" w:rsidP="00F7099E">
            <w:pPr>
              <w:spacing w:before="48" w:beforeLines="20" w:after="48" w:afterLines="20" w:line="240" w:lineRule="auto"/>
              <w:rPr>
                <w:rStyle w:val="DefaultParagraphFont"/>
                <w:rFonts w:ascii="Arial" w:eastAsia="Times New Roman" w:hAnsi="Arial" w:cs="Arial"/>
                <w:b/>
                <w:sz w:val="20"/>
                <w:szCs w:val="20"/>
                <w:lang w:val="en-US" w:eastAsia="en-US" w:bidi="ar-SA"/>
              </w:rPr>
            </w:pPr>
            <w:r w:rsidRPr="00200F5D">
              <w:rPr>
                <w:rFonts w:ascii="Arial" w:eastAsia="Times New Roman" w:hAnsi="Arial" w:cs="Arial"/>
                <w:b/>
                <w:sz w:val="20"/>
                <w:szCs w:val="20"/>
                <w:lang w:val="en-US" w:eastAsia="en-US" w:bidi="ar-SA"/>
              </w:rPr>
              <w:t>Winthrop &amp; Weinstine</w:t>
            </w:r>
          </w:p>
          <w:p w:rsidR="00A433C0" w:rsidRPr="00200F5D" w:rsidP="00F7099E">
            <w:pPr>
              <w:spacing w:before="48" w:beforeLines="20" w:after="48" w:afterLines="20" w:line="240" w:lineRule="auto"/>
              <w:rPr>
                <w:rStyle w:val="DefaultParagraphFont"/>
                <w:rFonts w:ascii="Arial" w:eastAsia="Times New Roman" w:hAnsi="Arial" w:cs="Arial"/>
                <w:i/>
                <w:sz w:val="20"/>
                <w:szCs w:val="20"/>
                <w:lang w:val="en-US" w:eastAsia="en-US" w:bidi="ar-SA"/>
              </w:rPr>
            </w:pPr>
            <w:r w:rsidRPr="00200F5D">
              <w:rPr>
                <w:rFonts w:ascii="Arial" w:eastAsia="Times New Roman" w:hAnsi="Arial" w:cs="Arial"/>
                <w:i/>
                <w:sz w:val="20"/>
                <w:szCs w:val="20"/>
                <w:lang w:val="en-US" w:eastAsia="en-US" w:bidi="ar-SA"/>
              </w:rPr>
              <w:t>Management</w:t>
            </w:r>
            <w:r>
              <w:rPr>
                <w:rFonts w:ascii="Arial" w:eastAsia="Times New Roman" w:hAnsi="Arial" w:cs="Arial"/>
                <w:i/>
                <w:sz w:val="20"/>
                <w:szCs w:val="20"/>
                <w:lang w:val="en-US" w:eastAsia="en-US" w:bidi="ar-SA"/>
              </w:rPr>
              <w:t xml:space="preserve"> &amp; Legal</w:t>
            </w:r>
          </w:p>
          <w:p w:rsidR="00A433C0" w:rsidRPr="00200F5D" w:rsidP="00F7099E">
            <w:pPr>
              <w:spacing w:before="48" w:beforeLines="20" w:after="48" w:afterLines="20" w:line="240" w:lineRule="auto"/>
              <w:rPr>
                <w:rStyle w:val="DefaultParagraphFont"/>
                <w:rFonts w:ascii="Arial" w:eastAsia="Times New Roman" w:hAnsi="Arial" w:cs="Arial"/>
                <w:b/>
                <w:sz w:val="20"/>
                <w:szCs w:val="20"/>
                <w:lang w:val="en-US" w:eastAsia="en-US" w:bidi="ar-SA"/>
              </w:rPr>
            </w:pPr>
            <w:r w:rsidRPr="00200F5D">
              <w:rPr>
                <w:rFonts w:ascii="Arial" w:eastAsia="Times New Roman" w:hAnsi="Arial" w:cs="Arial"/>
                <w:i/>
                <w:sz w:val="20"/>
                <w:szCs w:val="20"/>
                <w:lang w:val="en-US" w:eastAsia="en-US" w:bidi="ar-SA"/>
              </w:rPr>
              <w:t>Consultant</w:t>
            </w:r>
          </w:p>
        </w:tc>
        <w:tc>
          <w:tcPr>
            <w:tcW w:w="1585" w:type="dxa"/>
            <w:tcBorders>
              <w:bottom w:val="single" w:sz="4" w:space="0" w:color="auto"/>
            </w:tcBorders>
          </w:tcPr>
          <w:p w:rsidR="00A433C0" w:rsidRPr="00200F5D" w:rsidP="00F7099E">
            <w:pPr>
              <w:spacing w:before="48" w:beforeLines="20" w:after="48" w:afterLines="20" w:line="240" w:lineRule="auto"/>
              <w:jc w:val="right"/>
              <w:rPr>
                <w:rStyle w:val="DefaultParagraphFont"/>
                <w:rFonts w:ascii="Arial" w:eastAsia="Times New Roman" w:hAnsi="Arial" w:cs="Arial"/>
                <w:sz w:val="20"/>
                <w:szCs w:val="20"/>
                <w:lang w:val="en-US" w:eastAsia="en-US" w:bidi="ar-SA"/>
              </w:rPr>
            </w:pPr>
            <w:r w:rsidRPr="00200F5D">
              <w:rPr>
                <w:rFonts w:ascii="Arial" w:eastAsia="Times New Roman" w:hAnsi="Arial" w:cs="Arial"/>
                <w:sz w:val="20"/>
                <w:szCs w:val="20"/>
                <w:lang w:val="en-US" w:eastAsia="en-US" w:bidi="ar-SA"/>
              </w:rPr>
              <w:t>$</w:t>
            </w:r>
            <w:r w:rsidRPr="00B66650">
              <w:rPr>
                <w:rFonts w:ascii="Arial" w:eastAsia="Times New Roman" w:hAnsi="Arial" w:cs="Arial"/>
                <w:sz w:val="20"/>
                <w:szCs w:val="20"/>
                <w:lang w:val="en-US" w:eastAsia="en-US" w:bidi="ar-SA"/>
              </w:rPr>
              <w:t>184,835.50</w:t>
            </w:r>
          </w:p>
        </w:tc>
        <w:tc>
          <w:tcPr>
            <w:tcW w:w="2697" w:type="dxa"/>
            <w:tcBorders>
              <w:bottom w:val="single" w:sz="4" w:space="0" w:color="auto"/>
            </w:tcBorders>
          </w:tcPr>
          <w:p w:rsidR="00A433C0" w:rsidRPr="00200F5D" w:rsidP="00F7099E">
            <w:pPr>
              <w:spacing w:before="48" w:beforeLines="20" w:after="48" w:afterLines="20" w:line="240" w:lineRule="auto"/>
              <w:rPr>
                <w:rStyle w:val="DefaultParagraphFont"/>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Legal Engagement Letter</w:t>
            </w:r>
            <w:r w:rsidR="00F64957">
              <w:rPr>
                <w:rFonts w:ascii="Arial" w:eastAsia="Times New Roman" w:hAnsi="Arial" w:cs="Arial"/>
                <w:sz w:val="20"/>
                <w:szCs w:val="20"/>
                <w:lang w:val="en-US" w:eastAsia="en-US" w:bidi="ar-SA"/>
              </w:rPr>
              <w:t xml:space="preserve"> &amp; </w:t>
            </w:r>
            <w:r w:rsidRPr="00200F5D" w:rsidR="00F64957">
              <w:rPr>
                <w:rFonts w:ascii="Arial" w:eastAsia="Times New Roman" w:hAnsi="Arial" w:cs="Arial"/>
                <w:sz w:val="20"/>
                <w:szCs w:val="20"/>
                <w:lang w:val="en-US" w:eastAsia="en-US" w:bidi="ar-SA"/>
              </w:rPr>
              <w:t>Actual Expenditure</w:t>
            </w:r>
            <w:r w:rsidR="00F64957">
              <w:rPr>
                <w:rFonts w:ascii="Arial" w:eastAsia="Times New Roman" w:hAnsi="Arial" w:cs="Arial"/>
                <w:sz w:val="20"/>
                <w:szCs w:val="20"/>
                <w:lang w:val="en-US" w:eastAsia="en-US" w:bidi="ar-SA"/>
              </w:rPr>
              <w:t>s</w:t>
            </w:r>
          </w:p>
        </w:tc>
        <w:tc>
          <w:tcPr>
            <w:tcW w:w="2570" w:type="dxa"/>
            <w:tcBorders>
              <w:bottom w:val="single" w:sz="4" w:space="0" w:color="auto"/>
            </w:tcBorders>
          </w:tcPr>
          <w:p w:rsidR="00A433C0" w:rsidRPr="00200F5D" w:rsidP="00F7099E">
            <w:pPr>
              <w:spacing w:before="48" w:beforeLines="20" w:after="48" w:afterLines="20" w:line="240" w:lineRule="auto"/>
              <w:rPr>
                <w:rStyle w:val="DefaultParagraphFont"/>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June 2020 – December 2021</w:t>
            </w:r>
          </w:p>
        </w:tc>
      </w:tr>
      <w:tr w:rsidTr="00F7099E">
        <w:tblPrEx>
          <w:tblW w:w="9225" w:type="dxa"/>
          <w:tblInd w:w="0" w:type="dxa"/>
          <w:tblCellMar>
            <w:top w:w="0" w:type="dxa"/>
            <w:left w:w="108" w:type="dxa"/>
            <w:bottom w:w="0" w:type="dxa"/>
            <w:right w:w="108" w:type="dxa"/>
          </w:tblCellMar>
          <w:tblLook w:val="04A0"/>
        </w:tblPrEx>
        <w:trPr>
          <w:trHeight w:val="505"/>
        </w:trPr>
        <w:tc>
          <w:tcPr>
            <w:tcW w:w="2373" w:type="dxa"/>
            <w:shd w:val="clear" w:color="auto" w:fill="D9D9D9" w:themeFill="background1" w:themeFillShade="D9"/>
          </w:tcPr>
          <w:p w:rsidR="00A433C0" w:rsidRPr="00200F5D" w:rsidP="00F7099E">
            <w:pPr>
              <w:spacing w:before="48" w:beforeLines="20" w:after="48" w:afterLines="20" w:line="240" w:lineRule="auto"/>
              <w:rPr>
                <w:rStyle w:val="DefaultParagraphFont"/>
                <w:rFonts w:ascii="Arial" w:eastAsia="Times New Roman" w:hAnsi="Arial" w:cs="Arial"/>
                <w:b/>
                <w:sz w:val="20"/>
                <w:szCs w:val="20"/>
                <w:lang w:val="en-US" w:eastAsia="en-US" w:bidi="ar-SA"/>
              </w:rPr>
            </w:pPr>
            <w:r>
              <w:rPr>
                <w:rFonts w:ascii="Arial" w:eastAsia="Times New Roman" w:hAnsi="Arial" w:cs="Arial"/>
                <w:b/>
                <w:sz w:val="20"/>
                <w:szCs w:val="20"/>
                <w:lang w:val="en-US" w:eastAsia="en-US" w:bidi="ar-SA"/>
              </w:rPr>
              <w:t>TOTAL</w:t>
            </w:r>
          </w:p>
        </w:tc>
        <w:tc>
          <w:tcPr>
            <w:tcW w:w="1585" w:type="dxa"/>
            <w:tcBorders>
              <w:right w:val="single" w:sz="4" w:space="0" w:color="auto"/>
            </w:tcBorders>
            <w:shd w:val="clear" w:color="auto" w:fill="D9D9D9" w:themeFill="background1" w:themeFillShade="D9"/>
          </w:tcPr>
          <w:p w:rsidR="00A433C0" w:rsidRPr="00200F5D" w:rsidP="00F7099E">
            <w:pPr>
              <w:spacing w:before="48" w:beforeLines="20" w:after="48" w:afterLines="20" w:line="240" w:lineRule="auto"/>
              <w:jc w:val="right"/>
              <w:rPr>
                <w:rStyle w:val="DefaultParagraphFont"/>
                <w:rFonts w:ascii="Arial" w:eastAsia="Times New Roman" w:hAnsi="Arial" w:cs="Arial"/>
                <w:sz w:val="20"/>
                <w:szCs w:val="20"/>
                <w:lang w:val="en-US" w:eastAsia="en-US" w:bidi="ar-SA"/>
              </w:rPr>
            </w:pPr>
            <w:r w:rsidRPr="000115F6">
              <w:rPr>
                <w:rFonts w:ascii="Arial" w:eastAsia="Times New Roman" w:hAnsi="Arial" w:cs="Arial"/>
                <w:sz w:val="20"/>
                <w:szCs w:val="20"/>
                <w:lang w:val="en-US" w:eastAsia="en-US" w:bidi="ar-SA"/>
              </w:rPr>
              <w:t>$4,878,210.66</w:t>
            </w:r>
          </w:p>
        </w:tc>
        <w:tc>
          <w:tcPr>
            <w:tcW w:w="2697" w:type="dxa"/>
            <w:tcBorders>
              <w:top w:val="single" w:sz="4" w:space="0" w:color="auto"/>
              <w:left w:val="single" w:sz="4" w:space="0" w:color="auto"/>
              <w:bottom w:val="nil"/>
              <w:right w:val="nil"/>
            </w:tcBorders>
          </w:tcPr>
          <w:p w:rsidR="00A433C0" w:rsidRPr="00200F5D" w:rsidP="00F7099E">
            <w:pPr>
              <w:spacing w:before="48" w:beforeLines="20" w:after="48" w:afterLines="20" w:line="240" w:lineRule="auto"/>
              <w:rPr>
                <w:rStyle w:val="DefaultParagraphFont"/>
                <w:rFonts w:ascii="Arial" w:eastAsia="Times New Roman" w:hAnsi="Arial" w:cs="Arial"/>
                <w:sz w:val="20"/>
                <w:szCs w:val="20"/>
                <w:lang w:val="en-US" w:eastAsia="en-US" w:bidi="ar-SA"/>
              </w:rPr>
            </w:pPr>
          </w:p>
        </w:tc>
        <w:tc>
          <w:tcPr>
            <w:tcW w:w="2570" w:type="dxa"/>
            <w:tcBorders>
              <w:top w:val="single" w:sz="4" w:space="0" w:color="auto"/>
              <w:left w:val="nil"/>
              <w:bottom w:val="nil"/>
              <w:right w:val="nil"/>
            </w:tcBorders>
          </w:tcPr>
          <w:p w:rsidR="00A433C0" w:rsidRPr="00200F5D" w:rsidP="00F7099E">
            <w:pPr>
              <w:spacing w:before="48" w:beforeLines="20" w:after="48" w:afterLines="20" w:line="240" w:lineRule="auto"/>
              <w:rPr>
                <w:rStyle w:val="DefaultParagraphFont"/>
                <w:rFonts w:ascii="Arial" w:eastAsia="Times New Roman" w:hAnsi="Arial" w:cs="Arial"/>
                <w:sz w:val="20"/>
                <w:szCs w:val="20"/>
                <w:lang w:val="en-US" w:eastAsia="en-US" w:bidi="ar-SA"/>
              </w:rPr>
            </w:pPr>
          </w:p>
        </w:tc>
      </w:tr>
    </w:tbl>
    <w:p w:rsidR="00A433C0" w:rsidP="00A433C0">
      <w:pPr>
        <w:spacing w:before="48" w:beforeLines="20" w:after="48" w:afterLines="20" w:line="240" w:lineRule="auto"/>
        <w:rPr>
          <w:rFonts w:ascii="Calibri" w:eastAsia="Times New Roman" w:hAnsi="Calibri" w:cs="Calibri"/>
        </w:rPr>
      </w:pPr>
    </w:p>
    <w:p w:rsidR="00D109FD" w:rsidP="00D109FD">
      <w:pPr>
        <w:pStyle w:val="Heading2"/>
      </w:pPr>
      <w:bookmarkStart w:id="14" w:name="_Toc121478252"/>
      <w:r>
        <w:t>2.5. PIIC Owner’s Operations &amp; Contingency</w:t>
      </w:r>
      <w:bookmarkEnd w:id="14"/>
    </w:p>
    <w:p w:rsidR="00F526E7" w:rsidP="00696605">
      <w:r w:rsidRPr="00F526E7">
        <w:t>Legislation for the PIIC Net Zero Project states: “(b) The commissioner shall reserve a portion of the appropriation made under this section and Laws 2020, chapter 118, section 5, subdivision 2, to pay actual expenditures on the project that exceed the certified total cost. The amount reserved shall be the lesser of: (1) 20 percent of the certified total cost for the project; or (2) the difference between the certified total cost and $46,200,000. (c) Notwithstanding paragraph (a), if the certified total cost for the project is less than $46,200,000, the commissioner shall withhold from the project appropriation in fiscal year 2023 an amount equal to the difference between $46,200,000 and the sum of the amount of the certified total cost and the amount reserved by the commissioner under paragraph (b), and shall cancel the withheld amount to the re</w:t>
      </w:r>
      <w:r w:rsidR="00D35A5B">
        <w:t>newable development account.” and a</w:t>
      </w:r>
      <w:r>
        <w:t>dditionally, the legislation identifies</w:t>
      </w:r>
      <w:r w:rsidRPr="002636E3">
        <w:t xml:space="preserve">: “This appropriation is </w:t>
      </w:r>
      <w:r w:rsidR="00D35A5B">
        <w:t>available until June 30, 2031” (</w:t>
      </w:r>
      <w:r w:rsidR="00D35A5B">
        <w:rPr>
          <w:rFonts w:eastAsia="Franklin Gothic Book" w:cs="Arial"/>
          <w:color w:val="000000"/>
          <w:szCs w:val="20"/>
        </w:rPr>
        <w:t xml:space="preserve">Amended </w:t>
      </w:r>
      <w:r w:rsidRPr="004941ED" w:rsidR="00D35A5B">
        <w:rPr>
          <w:rFonts w:eastAsia="Franklin Gothic Book" w:cs="Arial"/>
          <w:color w:val="000000"/>
          <w:szCs w:val="20"/>
        </w:rPr>
        <w:t xml:space="preserve">Laws </w:t>
      </w:r>
      <w:r w:rsidR="00D35A5B">
        <w:rPr>
          <w:rFonts w:eastAsia="Franklin Gothic Book" w:cs="Arial"/>
          <w:color w:val="000000"/>
          <w:szCs w:val="20"/>
        </w:rPr>
        <w:t xml:space="preserve">of Minnesota </w:t>
      </w:r>
      <w:r w:rsidRPr="004941ED" w:rsidR="00D35A5B">
        <w:rPr>
          <w:rFonts w:eastAsia="Franklin Gothic Book" w:cs="Arial"/>
          <w:color w:val="000000"/>
          <w:szCs w:val="20"/>
        </w:rPr>
        <w:t>2021, First Special Session chapter 4, article 2, section 3</w:t>
      </w:r>
      <w:r w:rsidRPr="00F526E7" w:rsidR="00D35A5B">
        <w:t>).</w:t>
      </w:r>
    </w:p>
    <w:p w:rsidR="00C120CA" w:rsidP="00C120CA">
      <w:r w:rsidRPr="00F7748C">
        <w:t xml:space="preserve">Consistent with </w:t>
      </w:r>
      <w:r w:rsidRPr="00F7748C">
        <w:t>the</w:t>
      </w:r>
      <w:r w:rsidRPr="00F7748C" w:rsidR="00D4714B">
        <w:t xml:space="preserve"> legislation</w:t>
      </w:r>
      <w:r w:rsidRPr="00F7748C" w:rsidR="009C2AC7">
        <w:t xml:space="preserve">, PIIC </w:t>
      </w:r>
      <w:r w:rsidRPr="00F7748C" w:rsidR="00D4714B">
        <w:t>intends to</w:t>
      </w:r>
      <w:r w:rsidRPr="00F7748C" w:rsidR="009C2AC7">
        <w:t xml:space="preserve"> use </w:t>
      </w:r>
      <w:r w:rsidRPr="00F7748C" w:rsidR="00157AE4">
        <w:t>$</w:t>
      </w:r>
      <w:r w:rsidRPr="00F7748C" w:rsidR="00B750AA">
        <w:t>1,751</w:t>
      </w:r>
      <w:r w:rsidRPr="00F7748C" w:rsidR="00E80D72">
        <w:t>,</w:t>
      </w:r>
      <w:r w:rsidRPr="00F7748C" w:rsidR="00B750AA">
        <w:t>632.19</w:t>
      </w:r>
      <w:r w:rsidRPr="00F7748C" w:rsidR="00E80D72">
        <w:t xml:space="preserve"> </w:t>
      </w:r>
      <w:r w:rsidRPr="00F7748C" w:rsidR="00AC0E2B">
        <w:t>from the</w:t>
      </w:r>
      <w:r w:rsidRPr="00F7748C" w:rsidR="00BB6AF7">
        <w:t xml:space="preserve"> </w:t>
      </w:r>
      <w:r w:rsidRPr="00F7748C" w:rsidR="009C2AC7">
        <w:t xml:space="preserve">Net Zero funds to support critical </w:t>
      </w:r>
      <w:r w:rsidRPr="00F7748C">
        <w:t xml:space="preserve">PIIC </w:t>
      </w:r>
      <w:r w:rsidRPr="00F7748C" w:rsidR="009C2AC7">
        <w:t xml:space="preserve">operational and business functions </w:t>
      </w:r>
      <w:r w:rsidRPr="00F7748C" w:rsidR="00AC0E2B">
        <w:t>for</w:t>
      </w:r>
      <w:r w:rsidRPr="00F7748C" w:rsidR="009C2AC7">
        <w:t xml:space="preserve"> the commercial</w:t>
      </w:r>
      <w:r w:rsidR="009C2AC7">
        <w:t xml:space="preserve"> electrification and solar projects. </w:t>
      </w:r>
      <w:r w:rsidR="00AC0E2B">
        <w:t xml:space="preserve">This </w:t>
      </w:r>
      <w:r w:rsidR="00D4714B">
        <w:t>use of funds</w:t>
      </w:r>
      <w:r w:rsidR="00AC0E2B">
        <w:t xml:space="preserve"> is</w:t>
      </w:r>
      <w:r>
        <w:t xml:space="preserve"> essential for Net Zero Project sustainability. Operations funds will support Project</w:t>
      </w:r>
      <w:r w:rsidRPr="002636E3">
        <w:t xml:space="preserve"> management and administration</w:t>
      </w:r>
      <w:r>
        <w:t>, given the need for PIIC to have expertise, capacity, and infrastructure to support a Project of this size and scope</w:t>
      </w:r>
      <w:r w:rsidRPr="002636E3">
        <w:t>. Additionally, owner’s contingency funds will support change orders to</w:t>
      </w:r>
      <w:r>
        <w:t xml:space="preserve"> the above-detailed</w:t>
      </w:r>
      <w:r w:rsidRPr="002636E3">
        <w:t xml:space="preserve"> PIIC-contractor agreements</w:t>
      </w:r>
      <w:r>
        <w:t>. All funds under this category will be used to suppor</w:t>
      </w:r>
      <w:r w:rsidR="004B2A83">
        <w:t>t the Net Zero Project and meet</w:t>
      </w:r>
      <w:r>
        <w:t xml:space="preserve"> the </w:t>
      </w:r>
      <w:r w:rsidR="008A6135">
        <w:t>State</w:t>
      </w:r>
      <w:r>
        <w:t xml:space="preserve"> intention to invest</w:t>
      </w:r>
      <w:r w:rsidR="00D4714B">
        <w:t xml:space="preserve"> in</w:t>
      </w:r>
      <w:r>
        <w:t xml:space="preserve"> projects that are successful over the long-term.</w:t>
      </w:r>
    </w:p>
    <w:p w:rsidR="009C2AC7" w:rsidRPr="002636E3" w:rsidP="00696605">
      <w:r w:rsidRPr="00E80D72">
        <w:t xml:space="preserve">PIIC use of funds under this category represents </w:t>
      </w:r>
      <w:r w:rsidRPr="00E80D72" w:rsidR="000115F6">
        <w:t>&lt;4</w:t>
      </w:r>
      <w:r w:rsidRPr="00E80D72">
        <w:t>% of the</w:t>
      </w:r>
      <w:r>
        <w:t xml:space="preserve"> total appropriated Net Zero Project funds.</w:t>
      </w:r>
      <w:r w:rsidRPr="00AA4241">
        <w:t xml:space="preserve"> </w:t>
      </w:r>
      <w:r w:rsidRPr="002636E3">
        <w:t xml:space="preserve">PIIC will expend </w:t>
      </w:r>
      <w:r>
        <w:t>funds under this category</w:t>
      </w:r>
      <w:r w:rsidRPr="002636E3">
        <w:t xml:space="preserve"> no later than </w:t>
      </w:r>
      <w:r>
        <w:t>Net Zero Project</w:t>
      </w:r>
      <w:r w:rsidRPr="002636E3">
        <w:t xml:space="preserve"> c</w:t>
      </w:r>
      <w:r>
        <w:t>ompletion (i.e., June 30, 2031), in alignment with the appropriation term</w:t>
      </w:r>
      <w:r w:rsidR="00D4714B">
        <w:t>s</w:t>
      </w:r>
      <w:r>
        <w:t xml:space="preserve"> identified in the legisl</w:t>
      </w:r>
      <w:r w:rsidR="00605EB0">
        <w:t xml:space="preserve">ation. PIIC has discussed this use of funds </w:t>
      </w:r>
      <w:r>
        <w:t xml:space="preserve">with </w:t>
      </w:r>
      <w:r w:rsidR="008A6135">
        <w:t>the Department of Commerce</w:t>
      </w:r>
      <w:r>
        <w:t xml:space="preserve"> grant administrators and received their approval.</w:t>
      </w:r>
    </w:p>
    <w:p w:rsidR="007D0879" w:rsidP="00200F5D">
      <w:pPr>
        <w:pStyle w:val="Heading1"/>
      </w:pPr>
      <w:bookmarkStart w:id="15" w:name="_Toc121478253"/>
      <w:r>
        <w:t xml:space="preserve">3. </w:t>
      </w:r>
      <w:r w:rsidR="00382292">
        <w:t xml:space="preserve">PIIC Progress </w:t>
      </w:r>
      <w:r w:rsidR="00AC0E2B">
        <w:t>Towards</w:t>
      </w:r>
      <w:r w:rsidR="00382292">
        <w:t xml:space="preserve"> Net Zero </w:t>
      </w:r>
      <w:r w:rsidR="00543B2B">
        <w:t>Goal</w:t>
      </w:r>
      <w:bookmarkEnd w:id="15"/>
    </w:p>
    <w:p w:rsidR="008A2AED" w:rsidP="00410963">
      <w:pPr>
        <w:rPr>
          <w:rFonts w:eastAsia="Franklin Gothic Book" w:cs="Arial"/>
          <w:color w:val="000000"/>
          <w:szCs w:val="20"/>
        </w:rPr>
      </w:pPr>
      <w:r w:rsidRPr="0080607B">
        <w:rPr>
          <w:rFonts w:eastAsia="Franklin Gothic Book" w:cs="Arial"/>
          <w:color w:val="000000"/>
          <w:szCs w:val="20"/>
        </w:rPr>
        <w:t>On May 27, 2020, Minnesota Governor Tim Walz signed House File 1842</w:t>
      </w:r>
      <w:r>
        <w:rPr>
          <w:rFonts w:eastAsia="Franklin Gothic Book" w:cs="Arial"/>
          <w:color w:val="000000"/>
          <w:szCs w:val="20"/>
        </w:rPr>
        <w:t xml:space="preserve"> which appropriated </w:t>
      </w:r>
      <w:r>
        <w:t xml:space="preserve">$46.2M </w:t>
      </w:r>
      <w:r>
        <w:rPr>
          <w:rFonts w:eastAsia="Franklin Gothic Book" w:cs="Arial"/>
          <w:color w:val="000000"/>
          <w:szCs w:val="20"/>
        </w:rPr>
        <w:t>to the PIIC Net Zero Project</w:t>
      </w:r>
      <w:r w:rsidRPr="0080607B">
        <w:rPr>
          <w:rFonts w:eastAsia="Franklin Gothic Book" w:cs="Arial"/>
          <w:color w:val="000000"/>
          <w:szCs w:val="20"/>
        </w:rPr>
        <w:t xml:space="preserve">. </w:t>
      </w:r>
      <w:r>
        <w:rPr>
          <w:rFonts w:eastAsia="Franklin Gothic Book" w:cs="Arial"/>
          <w:color w:val="000000"/>
          <w:szCs w:val="20"/>
        </w:rPr>
        <w:t xml:space="preserve">These funds </w:t>
      </w:r>
      <w:r w:rsidR="00F76A00">
        <w:rPr>
          <w:rFonts w:eastAsia="Franklin Gothic Book" w:cs="Arial"/>
          <w:color w:val="000000"/>
          <w:szCs w:val="20"/>
        </w:rPr>
        <w:t>are intended to</w:t>
      </w:r>
      <w:r>
        <w:rPr>
          <w:rFonts w:eastAsia="Franklin Gothic Book" w:cs="Arial"/>
          <w:color w:val="000000"/>
          <w:szCs w:val="20"/>
        </w:rPr>
        <w:t xml:space="preserve"> support PIIC</w:t>
      </w:r>
      <w:r w:rsidR="00F76A00">
        <w:rPr>
          <w:rFonts w:eastAsia="Franklin Gothic Book" w:cs="Arial"/>
          <w:color w:val="000000"/>
          <w:szCs w:val="20"/>
        </w:rPr>
        <w:t xml:space="preserve"> community</w:t>
      </w:r>
      <w:r>
        <w:rPr>
          <w:rFonts w:eastAsia="Franklin Gothic Book" w:cs="Arial"/>
          <w:color w:val="000000"/>
          <w:szCs w:val="20"/>
        </w:rPr>
        <w:t xml:space="preserve"> </w:t>
      </w:r>
      <w:r w:rsidR="007A39ED">
        <w:rPr>
          <w:rFonts w:eastAsia="Franklin Gothic Book" w:cs="Arial"/>
          <w:color w:val="000000"/>
          <w:szCs w:val="20"/>
        </w:rPr>
        <w:t xml:space="preserve">progress towards </w:t>
      </w:r>
      <w:r w:rsidR="00F76A00">
        <w:rPr>
          <w:rFonts w:eastAsia="Franklin Gothic Book" w:cs="Arial"/>
          <w:color w:val="000000"/>
          <w:szCs w:val="20"/>
        </w:rPr>
        <w:t>its</w:t>
      </w:r>
      <w:r>
        <w:rPr>
          <w:rFonts w:eastAsia="Franklin Gothic Book" w:cs="Arial"/>
          <w:color w:val="000000"/>
          <w:szCs w:val="20"/>
        </w:rPr>
        <w:t xml:space="preserve"> </w:t>
      </w:r>
      <w:r w:rsidR="00E57011">
        <w:rPr>
          <w:rFonts w:eastAsia="Franklin Gothic Book" w:cs="Arial"/>
          <w:color w:val="000000"/>
          <w:szCs w:val="20"/>
        </w:rPr>
        <w:t xml:space="preserve">Net Zero </w:t>
      </w:r>
      <w:r w:rsidR="00D4714B">
        <w:rPr>
          <w:rFonts w:eastAsia="Franklin Gothic Book" w:cs="Arial"/>
          <w:color w:val="000000"/>
          <w:szCs w:val="20"/>
        </w:rPr>
        <w:t xml:space="preserve">carbon emissions </w:t>
      </w:r>
      <w:r>
        <w:rPr>
          <w:rFonts w:eastAsia="Franklin Gothic Book" w:cs="Arial"/>
          <w:color w:val="000000"/>
          <w:szCs w:val="20"/>
        </w:rPr>
        <w:t xml:space="preserve">goal. </w:t>
      </w:r>
      <w:r w:rsidR="00F76A00">
        <w:rPr>
          <w:rFonts w:cs="Arial"/>
        </w:rPr>
        <w:t>More broadly, these funds serve an</w:t>
      </w:r>
      <w:r>
        <w:rPr>
          <w:rFonts w:cs="Arial"/>
        </w:rPr>
        <w:t xml:space="preserve"> important purpose </w:t>
      </w:r>
      <w:r w:rsidR="00F76A00">
        <w:rPr>
          <w:rFonts w:cs="Arial"/>
        </w:rPr>
        <w:t xml:space="preserve">in helping </w:t>
      </w:r>
      <w:r>
        <w:rPr>
          <w:rFonts w:cs="Arial"/>
        </w:rPr>
        <w:t>bring clean energy solutions to the historically disadvantaged PIIC community—</w:t>
      </w:r>
      <w:r w:rsidR="003C70D8">
        <w:rPr>
          <w:rFonts w:cs="Arial"/>
        </w:rPr>
        <w:t xml:space="preserve">funding </w:t>
      </w:r>
      <w:r>
        <w:rPr>
          <w:rFonts w:cs="Arial"/>
        </w:rPr>
        <w:t xml:space="preserve">solutions which </w:t>
      </w:r>
      <w:r w:rsidR="003C70D8">
        <w:rPr>
          <w:rFonts w:cs="Arial"/>
        </w:rPr>
        <w:t>have</w:t>
      </w:r>
      <w:r>
        <w:rPr>
          <w:rFonts w:cs="Arial"/>
        </w:rPr>
        <w:t xml:space="preserve"> too often </w:t>
      </w:r>
      <w:r w:rsidR="003C70D8">
        <w:rPr>
          <w:rFonts w:cs="Arial"/>
        </w:rPr>
        <w:t xml:space="preserve">been historically </w:t>
      </w:r>
      <w:r>
        <w:rPr>
          <w:rFonts w:cs="Arial"/>
        </w:rPr>
        <w:t xml:space="preserve">relegated to </w:t>
      </w:r>
      <w:r w:rsidR="00D4714B">
        <w:rPr>
          <w:rFonts w:cs="Arial"/>
        </w:rPr>
        <w:t>communities</w:t>
      </w:r>
      <w:r w:rsidR="003C70D8">
        <w:rPr>
          <w:rFonts w:cs="Arial"/>
        </w:rPr>
        <w:t xml:space="preserve"> with the </w:t>
      </w:r>
      <w:r>
        <w:rPr>
          <w:rFonts w:cs="Arial"/>
        </w:rPr>
        <w:t>means to secure them, rather than to those</w:t>
      </w:r>
      <w:r w:rsidR="00E57011">
        <w:rPr>
          <w:rFonts w:cs="Arial"/>
        </w:rPr>
        <w:t xml:space="preserve"> who could most benefit</w:t>
      </w:r>
      <w:r>
        <w:rPr>
          <w:rFonts w:cs="Arial"/>
        </w:rPr>
        <w:t>.</w:t>
      </w:r>
      <w:r w:rsidR="00F76A00">
        <w:rPr>
          <w:rFonts w:cs="Arial"/>
        </w:rPr>
        <w:t xml:space="preserve"> Further, this appropriation has been identified as a learning opportunity and model </w:t>
      </w:r>
      <w:r w:rsidR="00E57011">
        <w:rPr>
          <w:rFonts w:cs="Arial"/>
        </w:rPr>
        <w:t>to inform</w:t>
      </w:r>
      <w:r w:rsidR="00F76A00">
        <w:rPr>
          <w:rFonts w:cs="Arial"/>
        </w:rPr>
        <w:t xml:space="preserve"> other communities </w:t>
      </w:r>
      <w:r w:rsidR="00E57011">
        <w:rPr>
          <w:rFonts w:cs="Arial"/>
        </w:rPr>
        <w:t>interested in clean energy and carbon neutrality</w:t>
      </w:r>
      <w:r w:rsidR="00F76A00">
        <w:rPr>
          <w:rFonts w:cs="Arial"/>
        </w:rPr>
        <w:t>.</w:t>
      </w:r>
    </w:p>
    <w:p w:rsidR="008A2AED" w:rsidRPr="00FC3626" w:rsidP="00410963">
      <w:pPr>
        <w:rPr>
          <w:rFonts w:cs="Arial"/>
        </w:rPr>
      </w:pPr>
      <w:r>
        <w:rPr>
          <w:rFonts w:cs="Arial"/>
        </w:rPr>
        <w:t xml:space="preserve">Through the Net Zero Project, </w:t>
      </w:r>
      <w:r>
        <w:rPr>
          <w:rFonts w:cs="Arial"/>
        </w:rPr>
        <w:t xml:space="preserve">PIIC </w:t>
      </w:r>
      <w:r w:rsidR="00D4714B">
        <w:rPr>
          <w:rFonts w:cs="Arial"/>
        </w:rPr>
        <w:t>identified the importan</w:t>
      </w:r>
      <w:r w:rsidR="00605EB0">
        <w:rPr>
          <w:rFonts w:cs="Arial"/>
        </w:rPr>
        <w:t>ce</w:t>
      </w:r>
      <w:r w:rsidR="00D4714B">
        <w:rPr>
          <w:rFonts w:cs="Arial"/>
        </w:rPr>
        <w:t xml:space="preserve"> of implementing</w:t>
      </w:r>
      <w:r>
        <w:rPr>
          <w:rFonts w:cs="Arial"/>
        </w:rPr>
        <w:t xml:space="preserve"> on-site </w:t>
      </w:r>
      <w:r w:rsidR="00E57011">
        <w:rPr>
          <w:rFonts w:cs="Arial"/>
        </w:rPr>
        <w:t xml:space="preserve">carbon reduction </w:t>
      </w:r>
      <w:r>
        <w:rPr>
          <w:rFonts w:cs="Arial"/>
        </w:rPr>
        <w:t>solutions</w:t>
      </w:r>
      <w:r>
        <w:rPr>
          <w:rFonts w:cs="Arial"/>
        </w:rPr>
        <w:t xml:space="preserve"> whenever possible, rather than simply purchasing </w:t>
      </w:r>
      <w:r>
        <w:rPr>
          <w:rFonts w:cs="Arial"/>
        </w:rPr>
        <w:t xml:space="preserve">external </w:t>
      </w:r>
      <w:r>
        <w:rPr>
          <w:rFonts w:cs="Arial"/>
        </w:rPr>
        <w:t>financial offsets</w:t>
      </w:r>
      <w:r w:rsidR="00FC3626">
        <w:rPr>
          <w:rFonts w:cs="Arial"/>
        </w:rPr>
        <w:t xml:space="preserve"> to achieve </w:t>
      </w:r>
      <w:r>
        <w:rPr>
          <w:rFonts w:cs="Arial"/>
        </w:rPr>
        <w:t>its Net Zero goal</w:t>
      </w:r>
      <w:r>
        <w:rPr>
          <w:rFonts w:cs="Arial"/>
        </w:rPr>
        <w:t xml:space="preserve">. This </w:t>
      </w:r>
      <w:r w:rsidR="00FC3626">
        <w:rPr>
          <w:rFonts w:cs="Arial"/>
        </w:rPr>
        <w:t xml:space="preserve">decision </w:t>
      </w:r>
      <w:r>
        <w:rPr>
          <w:rFonts w:cs="Arial"/>
        </w:rPr>
        <w:t>speaks to</w:t>
      </w:r>
      <w:r w:rsidR="00FC3626">
        <w:rPr>
          <w:rFonts w:cs="Arial"/>
        </w:rPr>
        <w:t xml:space="preserve"> PIIC’s deep</w:t>
      </w:r>
      <w:r>
        <w:rPr>
          <w:rFonts w:cs="Arial"/>
        </w:rPr>
        <w:t>, authentic</w:t>
      </w:r>
      <w:r w:rsidR="00FC3626">
        <w:rPr>
          <w:rFonts w:cs="Arial"/>
        </w:rPr>
        <w:t xml:space="preserve"> </w:t>
      </w:r>
      <w:r>
        <w:rPr>
          <w:rFonts w:cs="Arial"/>
        </w:rPr>
        <w:t>comm</w:t>
      </w:r>
      <w:r w:rsidR="00FC3626">
        <w:rPr>
          <w:rFonts w:cs="Arial"/>
        </w:rPr>
        <w:t>itment to decarbonizing its community</w:t>
      </w:r>
      <w:r>
        <w:rPr>
          <w:rFonts w:cs="Arial"/>
        </w:rPr>
        <w:t xml:space="preserve"> and </w:t>
      </w:r>
      <w:r w:rsidR="00FC3626">
        <w:rPr>
          <w:rFonts w:cs="Arial"/>
        </w:rPr>
        <w:t>achieving</w:t>
      </w:r>
      <w:r>
        <w:rPr>
          <w:rFonts w:cs="Arial"/>
        </w:rPr>
        <w:t xml:space="preserve"> a sustainable future for the next seven generations.</w:t>
      </w:r>
      <w:r w:rsidRPr="00460BAE">
        <w:rPr>
          <w:rFonts w:cs="Arial"/>
        </w:rPr>
        <w:t xml:space="preserve"> </w:t>
      </w:r>
      <w:r w:rsidR="00E57011">
        <w:rPr>
          <w:rFonts w:cs="Arial"/>
        </w:rPr>
        <w:t xml:space="preserve">Within this framework, </w:t>
      </w:r>
      <w:r w:rsidR="00FC3626">
        <w:rPr>
          <w:rFonts w:cs="Arial"/>
        </w:rPr>
        <w:t xml:space="preserve">PIIC </w:t>
      </w:r>
      <w:r>
        <w:rPr>
          <w:rFonts w:cs="Arial"/>
        </w:rPr>
        <w:t xml:space="preserve">acknowledged from </w:t>
      </w:r>
      <w:r w:rsidR="00D4714B">
        <w:rPr>
          <w:rFonts w:cs="Arial"/>
        </w:rPr>
        <w:t>Net Zero Project</w:t>
      </w:r>
      <w:r>
        <w:rPr>
          <w:rFonts w:cs="Arial"/>
        </w:rPr>
        <w:t xml:space="preserve"> beginning</w:t>
      </w:r>
      <w:r w:rsidR="00D4714B">
        <w:rPr>
          <w:rFonts w:cs="Arial"/>
        </w:rPr>
        <w:t>s</w:t>
      </w:r>
      <w:r>
        <w:rPr>
          <w:rFonts w:cs="Arial"/>
        </w:rPr>
        <w:t xml:space="preserve"> that</w:t>
      </w:r>
      <w:r w:rsidR="00A07267">
        <w:rPr>
          <w:rFonts w:cs="Arial"/>
        </w:rPr>
        <w:t xml:space="preserve"> the real cost of achieving the Net Zero goal was unknown and the </w:t>
      </w:r>
      <w:r>
        <w:rPr>
          <w:rFonts w:cs="Arial"/>
        </w:rPr>
        <w:t>$46.2M</w:t>
      </w:r>
      <w:r w:rsidR="00D4714B">
        <w:rPr>
          <w:rFonts w:cs="Arial"/>
        </w:rPr>
        <w:t xml:space="preserve"> appropriation</w:t>
      </w:r>
      <w:r>
        <w:rPr>
          <w:rFonts w:cs="Arial"/>
        </w:rPr>
        <w:t xml:space="preserve"> </w:t>
      </w:r>
      <w:r w:rsidR="00FA5268">
        <w:rPr>
          <w:rFonts w:cs="Arial"/>
        </w:rPr>
        <w:t>might</w:t>
      </w:r>
      <w:r>
        <w:rPr>
          <w:rFonts w:cs="Arial"/>
        </w:rPr>
        <w:t xml:space="preserve"> </w:t>
      </w:r>
      <w:r w:rsidR="003C70D8">
        <w:rPr>
          <w:rFonts w:cs="Arial"/>
        </w:rPr>
        <w:t xml:space="preserve">be </w:t>
      </w:r>
      <w:r>
        <w:rPr>
          <w:rFonts w:cs="Arial"/>
        </w:rPr>
        <w:t xml:space="preserve">insufficient to fully realize </w:t>
      </w:r>
      <w:r w:rsidR="00A07267">
        <w:rPr>
          <w:rFonts w:cs="Arial"/>
        </w:rPr>
        <w:t>the</w:t>
      </w:r>
      <w:r>
        <w:rPr>
          <w:rFonts w:cs="Arial"/>
        </w:rPr>
        <w:t xml:space="preserve"> goal. PIIC has sought to responsibly </w:t>
      </w:r>
      <w:r w:rsidR="00E57011">
        <w:rPr>
          <w:rFonts w:cs="Arial"/>
        </w:rPr>
        <w:t>apply</w:t>
      </w:r>
      <w:r>
        <w:rPr>
          <w:rFonts w:cs="Arial"/>
        </w:rPr>
        <w:t xml:space="preserve"> the</w:t>
      </w:r>
      <w:r w:rsidR="003C70D8">
        <w:rPr>
          <w:rFonts w:cs="Arial"/>
        </w:rPr>
        <w:t xml:space="preserve"> </w:t>
      </w:r>
      <w:r>
        <w:rPr>
          <w:rFonts w:cs="Arial"/>
        </w:rPr>
        <w:t xml:space="preserve">funds </w:t>
      </w:r>
      <w:r w:rsidR="00D4714B">
        <w:rPr>
          <w:rFonts w:cs="Arial"/>
        </w:rPr>
        <w:t>towards solutions</w:t>
      </w:r>
      <w:r>
        <w:rPr>
          <w:rFonts w:cs="Arial"/>
        </w:rPr>
        <w:t xml:space="preserve"> that </w:t>
      </w:r>
      <w:r>
        <w:rPr>
          <w:rFonts w:cs="Arial"/>
        </w:rPr>
        <w:t xml:space="preserve">maximize </w:t>
      </w:r>
      <w:r>
        <w:rPr>
          <w:rFonts w:cs="Arial"/>
        </w:rPr>
        <w:t>carbon reduction and community</w:t>
      </w:r>
      <w:r>
        <w:rPr>
          <w:rFonts w:cs="Arial"/>
        </w:rPr>
        <w:t xml:space="preserve"> benefits</w:t>
      </w:r>
      <w:r>
        <w:rPr>
          <w:rFonts w:cs="Arial"/>
        </w:rPr>
        <w:t>.</w:t>
      </w:r>
    </w:p>
    <w:p w:rsidR="00694031" w:rsidP="00410963">
      <w:r>
        <w:t>PIIC submitted a</w:t>
      </w:r>
      <w:r w:rsidR="002D74B0">
        <w:t xml:space="preserve"> Phase I </w:t>
      </w:r>
      <w:r>
        <w:t xml:space="preserve">Net Zero </w:t>
      </w:r>
      <w:r w:rsidR="002D74B0">
        <w:t>Project Plan</w:t>
      </w:r>
      <w:r w:rsidR="00FC3626">
        <w:t xml:space="preserve"> </w:t>
      </w:r>
      <w:r w:rsidR="002D74B0">
        <w:t>in July 2021</w:t>
      </w:r>
      <w:r>
        <w:t>, which</w:t>
      </w:r>
      <w:r w:rsidR="002D74B0">
        <w:t xml:space="preserve"> identified a high-level pathway for PIIC to achieve</w:t>
      </w:r>
      <w:r w:rsidR="006821DB">
        <w:t xml:space="preserve"> a</w:t>
      </w:r>
      <w:r w:rsidR="002D74B0">
        <w:t xml:space="preserve"> </w:t>
      </w:r>
      <w:r w:rsidR="00FC3626">
        <w:t>significant</w:t>
      </w:r>
      <w:r w:rsidR="002D74B0">
        <w:t xml:space="preserve"> </w:t>
      </w:r>
      <w:r w:rsidR="006821DB">
        <w:t xml:space="preserve">reduction of </w:t>
      </w:r>
      <w:r w:rsidR="002D74B0">
        <w:t>carbon emissions with the appropriated funds</w:t>
      </w:r>
      <w:r w:rsidR="00FC3626">
        <w:t>—</w:t>
      </w:r>
      <w:r w:rsidR="002D74B0">
        <w:t xml:space="preserve">based on preliminary </w:t>
      </w:r>
      <w:r w:rsidR="00D4714B">
        <w:t>information</w:t>
      </w:r>
      <w:r w:rsidR="002D74B0">
        <w:t xml:space="preserve">. Through Phase II, PIIC conducted competitive procurement processes and negotiated contracts based on circumstances and </w:t>
      </w:r>
      <w:r w:rsidR="00D4714B">
        <w:t>updated</w:t>
      </w:r>
      <w:r w:rsidR="002D74B0">
        <w:t xml:space="preserve"> </w:t>
      </w:r>
      <w:r>
        <w:t>cost</w:t>
      </w:r>
      <w:r w:rsidR="00D4714B">
        <w:t>s</w:t>
      </w:r>
      <w:r w:rsidR="00C2348D">
        <w:t xml:space="preserve"> </w:t>
      </w:r>
      <w:r w:rsidR="00FA5268">
        <w:t>of the</w:t>
      </w:r>
      <w:r w:rsidR="00C2348D">
        <w:t xml:space="preserve"> time</w:t>
      </w:r>
      <w:r>
        <w:t xml:space="preserve">. </w:t>
      </w:r>
      <w:r w:rsidR="00FC3626">
        <w:t xml:space="preserve">Today, the </w:t>
      </w:r>
      <w:r>
        <w:t>solutions</w:t>
      </w:r>
      <w:r w:rsidR="00FC3626">
        <w:t xml:space="preserve"> committed through this</w:t>
      </w:r>
      <w:r w:rsidRPr="00081F12" w:rsidR="00260352">
        <w:t xml:space="preserve"> </w:t>
      </w:r>
      <w:r w:rsidRPr="00AA4241" w:rsidR="00260352">
        <w:rPr>
          <w:i/>
        </w:rPr>
        <w:t>Certified Total Cost</w:t>
      </w:r>
      <w:r w:rsidR="00CD555C">
        <w:t xml:space="preserve"> </w:t>
      </w:r>
      <w:r w:rsidR="00C2348D">
        <w:t>are estimated to</w:t>
      </w:r>
      <w:r>
        <w:t xml:space="preserve"> </w:t>
      </w:r>
      <w:r w:rsidRPr="00FA5268">
        <w:t xml:space="preserve">reduce the </w:t>
      </w:r>
      <w:r w:rsidRPr="00FA5268" w:rsidR="00FC3626">
        <w:t>PIIC community’s</w:t>
      </w:r>
      <w:r w:rsidRPr="00FA5268">
        <w:t xml:space="preserve"> annual carbon emissions by a total of </w:t>
      </w:r>
      <w:r w:rsidRPr="00FA5268" w:rsidR="00FA5268">
        <w:t xml:space="preserve">10,439,953 </w:t>
      </w:r>
      <w:r w:rsidRPr="00FA5268">
        <w:t xml:space="preserve">pounds annually, moving PIIC approximately </w:t>
      </w:r>
      <w:r w:rsidRPr="00FA5268" w:rsidR="00FA5268">
        <w:t>52</w:t>
      </w:r>
      <w:r w:rsidRPr="00FA5268">
        <w:t>% of the way towards its</w:t>
      </w:r>
      <w:r w:rsidRPr="00FA5268" w:rsidR="00CD555C">
        <w:t xml:space="preserve"> Net Zero goal.</w:t>
      </w:r>
      <w:r w:rsidRPr="00FA5268" w:rsidR="00053FD1">
        <w:t xml:space="preserve"> Additionally, PIIC has received other third-party fu</w:t>
      </w:r>
      <w:r w:rsidRPr="00FA5268" w:rsidR="00FA5268">
        <w:t>nding to achieve an additional 1</w:t>
      </w:r>
      <w:r w:rsidRPr="00FA5268" w:rsidR="00053FD1">
        <w:t>% carbon emissions reduction</w:t>
      </w:r>
      <w:r w:rsidRPr="00FA5268" w:rsidR="00FA5268">
        <w:t xml:space="preserve"> for a total of approximately 53</w:t>
      </w:r>
      <w:r w:rsidRPr="00FA5268" w:rsidR="00053FD1">
        <w:t xml:space="preserve">% </w:t>
      </w:r>
      <w:r w:rsidRPr="00FA5268" w:rsidR="003C70D8">
        <w:t xml:space="preserve">carbon </w:t>
      </w:r>
      <w:r w:rsidRPr="00FA5268" w:rsidR="00053FD1">
        <w:t xml:space="preserve">reduction </w:t>
      </w:r>
      <w:r w:rsidRPr="00FA5268" w:rsidR="003C70D8">
        <w:t>expected</w:t>
      </w:r>
      <w:r w:rsidR="003C70D8">
        <w:t xml:space="preserve"> </w:t>
      </w:r>
      <w:r w:rsidR="00053FD1">
        <w:t>annually</w:t>
      </w:r>
      <w:r w:rsidR="003C70D8">
        <w:t xml:space="preserve"> when projects are complete</w:t>
      </w:r>
      <w:r w:rsidR="00053FD1">
        <w:t>.</w:t>
      </w:r>
    </w:p>
    <w:p w:rsidR="00260352" w:rsidP="004D5A71">
      <w:pPr>
        <w:pStyle w:val="NormalWeb"/>
        <w:spacing w:before="120" w:beforeAutospacing="0" w:after="120" w:afterAutospacing="0" w:line="259" w:lineRule="auto"/>
        <w:rPr>
          <w:rFonts w:cs="Arial"/>
        </w:rPr>
      </w:pPr>
      <w:r>
        <w:rPr>
          <w:rFonts w:ascii="Arial" w:hAnsi="Arial" w:cs="Arial"/>
          <w:sz w:val="20"/>
          <w:szCs w:val="22"/>
        </w:rPr>
        <w:t xml:space="preserve">PIIC acknowledges the benefits and challenges of this </w:t>
      </w:r>
      <w:r w:rsidR="004D5A71">
        <w:rPr>
          <w:rFonts w:ascii="Arial" w:hAnsi="Arial" w:cs="Arial"/>
          <w:sz w:val="20"/>
          <w:szCs w:val="22"/>
        </w:rPr>
        <w:t xml:space="preserve">breakthrough Project. A variety of factors </w:t>
      </w:r>
      <w:r w:rsidR="00F76A00">
        <w:rPr>
          <w:rFonts w:ascii="Arial" w:hAnsi="Arial" w:cs="Arial"/>
          <w:sz w:val="20"/>
          <w:szCs w:val="22"/>
        </w:rPr>
        <w:t xml:space="preserve">have </w:t>
      </w:r>
      <w:r w:rsidR="004D5A71">
        <w:rPr>
          <w:rFonts w:ascii="Arial" w:hAnsi="Arial" w:cs="Arial"/>
          <w:sz w:val="20"/>
          <w:szCs w:val="22"/>
        </w:rPr>
        <w:t xml:space="preserve">contributed to the </w:t>
      </w:r>
      <w:r w:rsidRPr="004D5A71" w:rsidR="004D5A71">
        <w:rPr>
          <w:rFonts w:ascii="Arial" w:hAnsi="Arial" w:cs="Arial"/>
          <w:i/>
          <w:sz w:val="20"/>
          <w:szCs w:val="22"/>
        </w:rPr>
        <w:t>Certified Total Cost</w:t>
      </w:r>
      <w:r w:rsidR="00F76A00">
        <w:rPr>
          <w:rFonts w:ascii="Arial" w:hAnsi="Arial" w:cs="Arial"/>
          <w:i/>
          <w:sz w:val="20"/>
          <w:szCs w:val="22"/>
        </w:rPr>
        <w:t xml:space="preserve"> </w:t>
      </w:r>
      <w:r w:rsidRPr="00F76A00" w:rsidR="00F76A00">
        <w:rPr>
          <w:rFonts w:ascii="Arial" w:hAnsi="Arial" w:cs="Arial"/>
          <w:sz w:val="20"/>
          <w:szCs w:val="22"/>
        </w:rPr>
        <w:t>herein</w:t>
      </w:r>
      <w:r w:rsidR="004D5A71">
        <w:rPr>
          <w:rFonts w:ascii="Arial" w:hAnsi="Arial" w:cs="Arial"/>
          <w:i/>
          <w:sz w:val="20"/>
          <w:szCs w:val="22"/>
        </w:rPr>
        <w:t xml:space="preserve"> </w:t>
      </w:r>
      <w:r w:rsidR="00F76A00">
        <w:rPr>
          <w:rFonts w:ascii="Arial" w:hAnsi="Arial" w:cs="Arial"/>
          <w:sz w:val="20"/>
          <w:szCs w:val="22"/>
        </w:rPr>
        <w:t xml:space="preserve">and the related carbon emission reductions </w:t>
      </w:r>
      <w:r w:rsidR="00E57011">
        <w:rPr>
          <w:rFonts w:ascii="Arial" w:hAnsi="Arial" w:cs="Arial"/>
          <w:sz w:val="20"/>
          <w:szCs w:val="22"/>
        </w:rPr>
        <w:t xml:space="preserve">that </w:t>
      </w:r>
      <w:r w:rsidR="00F76A00">
        <w:rPr>
          <w:rFonts w:ascii="Arial" w:hAnsi="Arial" w:cs="Arial"/>
          <w:sz w:val="20"/>
          <w:szCs w:val="22"/>
        </w:rPr>
        <w:t>PIIC will receive through these solutions. Key factors include:</w:t>
      </w:r>
    </w:p>
    <w:p w:rsidR="00712036" w:rsidRPr="0010038D" w:rsidP="00591A5A">
      <w:pPr>
        <w:pStyle w:val="ListParagraph"/>
        <w:numPr>
          <w:ilvl w:val="0"/>
          <w:numId w:val="19"/>
        </w:numPr>
        <w:spacing w:before="96" w:beforeLines="40" w:after="96" w:afterLines="40"/>
        <w:contextualSpacing w:val="0"/>
      </w:pPr>
      <w:r w:rsidRPr="00712036">
        <w:rPr>
          <w:b/>
        </w:rPr>
        <w:t xml:space="preserve">Pandemic supply chain effects: </w:t>
      </w:r>
      <w:r w:rsidRPr="0010038D">
        <w:t xml:space="preserve">The </w:t>
      </w:r>
      <w:r w:rsidR="004D5A71">
        <w:t>COVID-19 pandemic</w:t>
      </w:r>
      <w:r w:rsidRPr="0010038D">
        <w:t xml:space="preserve"> has had </w:t>
      </w:r>
      <w:r w:rsidR="004D5A71">
        <w:t>meaningful</w:t>
      </w:r>
      <w:r w:rsidRPr="0010038D">
        <w:t xml:space="preserve">, long-term impacts on material costs and labor supply that </w:t>
      </w:r>
      <w:r w:rsidR="004B2A83">
        <w:t>have</w:t>
      </w:r>
      <w:r w:rsidRPr="0010038D">
        <w:t xml:space="preserve"> </w:t>
      </w:r>
      <w:r w:rsidR="00591A5A">
        <w:t>affected</w:t>
      </w:r>
      <w:r w:rsidRPr="0010038D">
        <w:t xml:space="preserve"> PIIC project</w:t>
      </w:r>
      <w:r w:rsidR="004D5A71">
        <w:t>s</w:t>
      </w:r>
      <w:r w:rsidRPr="0010038D">
        <w:t>.</w:t>
      </w:r>
      <w:r>
        <w:t xml:space="preserve"> For example, </w:t>
      </w:r>
      <w:r>
        <w:t xml:space="preserve">solar </w:t>
      </w:r>
      <w:r w:rsidR="00591A5A">
        <w:rPr>
          <w:rFonts w:cs="Arial"/>
          <w:szCs w:val="20"/>
        </w:rPr>
        <w:t xml:space="preserve">PV panels have increased 50% and </w:t>
      </w:r>
      <w:r>
        <w:rPr>
          <w:rFonts w:cs="Arial"/>
          <w:szCs w:val="20"/>
        </w:rPr>
        <w:t>modules have increased 16x</w:t>
      </w:r>
      <w:r w:rsidR="00591A5A">
        <w:rPr>
          <w:rFonts w:cs="Arial"/>
          <w:szCs w:val="20"/>
        </w:rPr>
        <w:t>;</w:t>
      </w:r>
      <w:r>
        <w:rPr>
          <w:rFonts w:cs="Arial"/>
          <w:szCs w:val="20"/>
        </w:rPr>
        <w:t xml:space="preserve"> copper wiring has increased nearly 100%</w:t>
      </w:r>
      <w:r w:rsidR="00591A5A">
        <w:rPr>
          <w:rFonts w:cs="Arial"/>
          <w:szCs w:val="20"/>
        </w:rPr>
        <w:t xml:space="preserve">; and </w:t>
      </w:r>
      <w:r w:rsidR="00E57011">
        <w:rPr>
          <w:rFonts w:cs="Arial"/>
          <w:szCs w:val="20"/>
        </w:rPr>
        <w:t>HVAC</w:t>
      </w:r>
      <w:r w:rsidR="00591A5A">
        <w:rPr>
          <w:rFonts w:cs="Arial"/>
          <w:szCs w:val="20"/>
        </w:rPr>
        <w:t xml:space="preserve"> equipment is increased about 50-60%</w:t>
      </w:r>
      <w:r>
        <w:rPr>
          <w:rFonts w:cs="Arial"/>
          <w:szCs w:val="20"/>
        </w:rPr>
        <w:t xml:space="preserve">. Other material costs have risen dramatically, and the </w:t>
      </w:r>
      <w:r w:rsidRPr="00712036">
        <w:rPr>
          <w:rFonts w:cs="Arial"/>
          <w:szCs w:val="20"/>
        </w:rPr>
        <w:t>U</w:t>
      </w:r>
      <w:r w:rsidR="00E57011">
        <w:rPr>
          <w:rFonts w:cs="Arial"/>
          <w:szCs w:val="20"/>
        </w:rPr>
        <w:t>.</w:t>
      </w:r>
      <w:r w:rsidRPr="00712036">
        <w:rPr>
          <w:rFonts w:cs="Arial"/>
          <w:szCs w:val="20"/>
        </w:rPr>
        <w:t>S</w:t>
      </w:r>
      <w:r w:rsidR="00E57011">
        <w:rPr>
          <w:rFonts w:cs="Arial"/>
          <w:szCs w:val="20"/>
        </w:rPr>
        <w:t>.</w:t>
      </w:r>
      <w:r w:rsidRPr="00712036">
        <w:rPr>
          <w:rFonts w:cs="Arial"/>
          <w:szCs w:val="20"/>
        </w:rPr>
        <w:t xml:space="preserve"> Bureau of Labor Statistics indicate</w:t>
      </w:r>
      <w:r>
        <w:rPr>
          <w:rFonts w:cs="Arial"/>
          <w:szCs w:val="20"/>
        </w:rPr>
        <w:t>s</w:t>
      </w:r>
      <w:r w:rsidRPr="00712036">
        <w:rPr>
          <w:rFonts w:cs="Arial"/>
          <w:szCs w:val="20"/>
        </w:rPr>
        <w:t xml:space="preserve"> the cost of labor, doing business</w:t>
      </w:r>
      <w:r w:rsidR="00FA5268">
        <w:rPr>
          <w:rFonts w:cs="Arial"/>
          <w:szCs w:val="20"/>
        </w:rPr>
        <w:t>,</w:t>
      </w:r>
      <w:r w:rsidRPr="00712036">
        <w:rPr>
          <w:rFonts w:cs="Arial"/>
          <w:szCs w:val="20"/>
        </w:rPr>
        <w:t xml:space="preserve"> and transportation have increased</w:t>
      </w:r>
      <w:r>
        <w:rPr>
          <w:rFonts w:cs="Arial"/>
          <w:szCs w:val="20"/>
        </w:rPr>
        <w:t xml:space="preserve"> three-fold in the last several years.</w:t>
      </w:r>
    </w:p>
    <w:p w:rsidR="00591A5A" w:rsidRPr="004D5A71" w:rsidP="00591A5A">
      <w:pPr>
        <w:pStyle w:val="ListParagraph"/>
        <w:numPr>
          <w:ilvl w:val="0"/>
          <w:numId w:val="19"/>
        </w:numPr>
        <w:spacing w:before="96" w:beforeLines="40" w:after="96" w:afterLines="40"/>
        <w:contextualSpacing w:val="0"/>
      </w:pPr>
      <w:r w:rsidRPr="00591A5A">
        <w:rPr>
          <w:b/>
        </w:rPr>
        <w:t>Technolo</w:t>
      </w:r>
      <w:r w:rsidRPr="00591A5A">
        <w:rPr>
          <w:b/>
        </w:rPr>
        <w:t xml:space="preserve">gy </w:t>
      </w:r>
      <w:r>
        <w:rPr>
          <w:b/>
        </w:rPr>
        <w:t>d</w:t>
      </w:r>
      <w:r w:rsidRPr="00591A5A">
        <w:rPr>
          <w:b/>
        </w:rPr>
        <w:t>evelopment.</w:t>
      </w:r>
      <w:r w:rsidRPr="00591A5A">
        <w:t xml:space="preserve"> </w:t>
      </w:r>
      <w:r w:rsidRPr="00591A5A">
        <w:rPr>
          <w:rFonts w:cs="Arial"/>
          <w:szCs w:val="20"/>
        </w:rPr>
        <w:t xml:space="preserve">The best pathway to Net Zero for PIIC is to transition commercial buildings from natural gas to electric. However, safe and mature technology does not yet exist to support this transition for certain aspects of PIIC infrastructure, including laundry facilities of PIIC’s size and scale, which represents 23% of PIIC’s commercial building gas load. PIIC </w:t>
      </w:r>
      <w:r w:rsidR="00E57011">
        <w:rPr>
          <w:rFonts w:cs="Arial"/>
          <w:szCs w:val="20"/>
        </w:rPr>
        <w:t>intends to</w:t>
      </w:r>
      <w:r w:rsidRPr="00591A5A">
        <w:rPr>
          <w:rFonts w:cs="Arial"/>
          <w:szCs w:val="20"/>
        </w:rPr>
        <w:t xml:space="preserve"> monitor this industry for future technology solutions to meet these needs.</w:t>
      </w:r>
    </w:p>
    <w:p w:rsidR="00460BAE" w:rsidRPr="00460BAE" w:rsidP="00591A5A">
      <w:pPr>
        <w:pStyle w:val="ListParagraph"/>
        <w:numPr>
          <w:ilvl w:val="0"/>
          <w:numId w:val="19"/>
        </w:numPr>
        <w:spacing w:before="96" w:beforeLines="40" w:after="96" w:afterLines="40"/>
        <w:contextualSpacing w:val="0"/>
      </w:pPr>
      <w:r w:rsidRPr="00591A5A">
        <w:rPr>
          <w:b/>
        </w:rPr>
        <w:t>On-site, custom solutions:</w:t>
      </w:r>
      <w:r>
        <w:t xml:space="preserve"> </w:t>
      </w:r>
      <w:r w:rsidR="00591A5A">
        <w:t xml:space="preserve">PIIC is developing </w:t>
      </w:r>
      <w:r w:rsidRPr="00591A5A" w:rsidR="004D5A71">
        <w:rPr>
          <w:u w:val="double"/>
        </w:rPr>
        <w:t>custom, on-site carbon</w:t>
      </w:r>
      <w:r w:rsidRPr="00591A5A" w:rsidR="00591A5A">
        <w:rPr>
          <w:u w:val="double"/>
        </w:rPr>
        <w:t>-</w:t>
      </w:r>
      <w:r w:rsidRPr="00591A5A" w:rsidR="004D5A71">
        <w:rPr>
          <w:u w:val="double"/>
        </w:rPr>
        <w:t xml:space="preserve">reduction solutions </w:t>
      </w:r>
      <w:r w:rsidR="007E6A63">
        <w:t xml:space="preserve">that </w:t>
      </w:r>
      <w:r w:rsidR="00AD33EB">
        <w:t>integrate</w:t>
      </w:r>
      <w:r w:rsidR="007E6A63">
        <w:t xml:space="preserve"> effectively with </w:t>
      </w:r>
      <w:r w:rsidR="004D5A71">
        <w:t>its</w:t>
      </w:r>
      <w:r w:rsidR="007E6A63">
        <w:t xml:space="preserve"> </w:t>
      </w:r>
      <w:r w:rsidR="00C120CA">
        <w:t>operation</w:t>
      </w:r>
      <w:r w:rsidR="004D5A71">
        <w:t xml:space="preserve">s, infrastructure, and </w:t>
      </w:r>
      <w:r w:rsidR="00C120CA">
        <w:t>community values</w:t>
      </w:r>
      <w:r w:rsidR="007E6A63">
        <w:t>.</w:t>
      </w:r>
      <w:r w:rsidR="004D5A71">
        <w:t xml:space="preserve"> While this approach is critical to Net Zero Project success, </w:t>
      </w:r>
      <w:r w:rsidR="00591A5A">
        <w:t>on-site solutions are</w:t>
      </w:r>
      <w:r w:rsidR="004D5A71">
        <w:t xml:space="preserve"> more complex and a greater financial investment than simply purchasing carbon offsets. </w:t>
      </w:r>
      <w:r w:rsidR="00591A5A">
        <w:t>However, PIIC believes</w:t>
      </w:r>
      <w:r w:rsidR="007E6A63">
        <w:t xml:space="preserve"> </w:t>
      </w:r>
      <w:r w:rsidR="00591A5A">
        <w:t>that</w:t>
      </w:r>
      <w:r w:rsidRPr="00591A5A" w:rsidR="00591A5A">
        <w:t xml:space="preserve"> this approach demonstrates </w:t>
      </w:r>
      <w:r w:rsidR="00591A5A">
        <w:t>its</w:t>
      </w:r>
      <w:r w:rsidRPr="00591A5A" w:rsidR="00591A5A">
        <w:t xml:space="preserve"> deep commitment to decarbonizing its community and </w:t>
      </w:r>
      <w:r w:rsidR="00591A5A">
        <w:t xml:space="preserve">also </w:t>
      </w:r>
      <w:r w:rsidRPr="00591A5A" w:rsidR="00591A5A">
        <w:t xml:space="preserve">best meets the spirit of the Renewable Development </w:t>
      </w:r>
      <w:r w:rsidR="00240D80">
        <w:t>Account</w:t>
      </w:r>
      <w:r w:rsidRPr="00591A5A" w:rsidR="00591A5A">
        <w:t xml:space="preserve"> and </w:t>
      </w:r>
      <w:r w:rsidR="008A6135">
        <w:t>the Net Zero</w:t>
      </w:r>
      <w:r w:rsidRPr="00591A5A" w:rsidR="00591A5A">
        <w:t xml:space="preserve"> appropriation</w:t>
      </w:r>
      <w:r w:rsidR="00591A5A">
        <w:t>.</w:t>
      </w:r>
    </w:p>
    <w:p w:rsidR="00A7381F" w:rsidP="00591A5A">
      <w:pPr>
        <w:pStyle w:val="ListParagraph"/>
        <w:numPr>
          <w:ilvl w:val="0"/>
          <w:numId w:val="19"/>
        </w:numPr>
        <w:spacing w:before="96" w:beforeLines="40" w:after="96" w:afterLines="40"/>
        <w:contextualSpacing w:val="0"/>
      </w:pPr>
      <w:r>
        <w:rPr>
          <w:b/>
        </w:rPr>
        <w:t>Firm</w:t>
      </w:r>
      <w:r>
        <w:rPr>
          <w:b/>
        </w:rPr>
        <w:t xml:space="preserve"> contractor</w:t>
      </w:r>
      <w:r>
        <w:rPr>
          <w:b/>
        </w:rPr>
        <w:t xml:space="preserve"> cost proposals</w:t>
      </w:r>
      <w:r w:rsidRPr="007354C7" w:rsidR="007354C7">
        <w:rPr>
          <w:b/>
        </w:rPr>
        <w:t>:</w:t>
      </w:r>
      <w:r w:rsidR="007354C7">
        <w:t xml:space="preserve"> Preliminary </w:t>
      </w:r>
      <w:r w:rsidR="007E6A63">
        <w:t xml:space="preserve">cost </w:t>
      </w:r>
      <w:r w:rsidR="007354C7">
        <w:t xml:space="preserve">estimates </w:t>
      </w:r>
      <w:r w:rsidR="000923A3">
        <w:t>were developed in Phase I</w:t>
      </w:r>
      <w:r w:rsidR="007E6A63">
        <w:t xml:space="preserve"> by technical experts </w:t>
      </w:r>
      <w:r w:rsidR="00591A5A">
        <w:t xml:space="preserve">using industry standard estimating software, </w:t>
      </w:r>
      <w:r w:rsidR="000923A3">
        <w:t xml:space="preserve">incorporating a high-level, </w:t>
      </w:r>
      <w:r w:rsidRPr="00591A5A" w:rsidR="00591A5A">
        <w:t xml:space="preserve">conceptual scope of work and </w:t>
      </w:r>
      <w:r w:rsidR="00591A5A">
        <w:t xml:space="preserve">past </w:t>
      </w:r>
      <w:r w:rsidRPr="00591A5A" w:rsidR="00591A5A">
        <w:t>market conditions</w:t>
      </w:r>
      <w:r>
        <w:t xml:space="preserve">. </w:t>
      </w:r>
      <w:r w:rsidR="007354C7">
        <w:t xml:space="preserve">Phase II </w:t>
      </w:r>
      <w:r>
        <w:t>activities enabled</w:t>
      </w:r>
      <w:r w:rsidR="007354C7">
        <w:t xml:space="preserve"> PIIC </w:t>
      </w:r>
      <w:r>
        <w:t>to conduct a robust procurement process wherein</w:t>
      </w:r>
      <w:r w:rsidR="007354C7">
        <w:t xml:space="preserve"> real costs proposals </w:t>
      </w:r>
      <w:r w:rsidR="00591A5A">
        <w:t xml:space="preserve">were received </w:t>
      </w:r>
      <w:r>
        <w:t xml:space="preserve">from </w:t>
      </w:r>
      <w:r w:rsidR="004D5A71">
        <w:t>contractors</w:t>
      </w:r>
      <w:r w:rsidR="00591A5A">
        <w:t>—</w:t>
      </w:r>
      <w:r>
        <w:t xml:space="preserve">based on a detailed understanding of </w:t>
      </w:r>
      <w:r w:rsidR="007E6A63">
        <w:t xml:space="preserve">existing </w:t>
      </w:r>
      <w:r>
        <w:t xml:space="preserve">conditions, a </w:t>
      </w:r>
      <w:r w:rsidR="00F505D7">
        <w:t>complete</w:t>
      </w:r>
      <w:r>
        <w:t xml:space="preserve"> scope of work, and </w:t>
      </w:r>
      <w:r w:rsidR="00F505D7">
        <w:t>updated</w:t>
      </w:r>
      <w:r>
        <w:t xml:space="preserve"> supply chains impacts</w:t>
      </w:r>
      <w:r w:rsidR="00591A5A">
        <w:t xml:space="preserve">—as the basis of negotiations and contracts within the </w:t>
      </w:r>
      <w:r w:rsidRPr="00591A5A" w:rsidR="00591A5A">
        <w:rPr>
          <w:i/>
        </w:rPr>
        <w:t>Certified Total Cost</w:t>
      </w:r>
      <w:r>
        <w:t xml:space="preserve">. </w:t>
      </w:r>
    </w:p>
    <w:p w:rsidR="00B6012A" w:rsidP="00382292">
      <w:r>
        <w:t xml:space="preserve">Additional funding sources will be critical to PIIC’s success in reaching </w:t>
      </w:r>
      <w:r w:rsidR="00184D13">
        <w:t xml:space="preserve">its </w:t>
      </w:r>
      <w:r>
        <w:t>Net Zero</w:t>
      </w:r>
      <w:r w:rsidR="00184D13">
        <w:t xml:space="preserve"> goal</w:t>
      </w:r>
      <w:r>
        <w:t>.</w:t>
      </w:r>
      <w:r w:rsidR="008142E5">
        <w:t xml:space="preserve"> </w:t>
      </w:r>
      <w:r>
        <w:t xml:space="preserve">PIIC </w:t>
      </w:r>
      <w:r w:rsidR="00382292">
        <w:t xml:space="preserve">is </w:t>
      </w:r>
      <w:r w:rsidR="00184D13">
        <w:t>seeking</w:t>
      </w:r>
      <w:r w:rsidR="008142E5">
        <w:t xml:space="preserve"> opportunities </w:t>
      </w:r>
      <w:r w:rsidR="00382292">
        <w:t xml:space="preserve">to augment the </w:t>
      </w:r>
      <w:r w:rsidR="008A6135">
        <w:t xml:space="preserve">state </w:t>
      </w:r>
      <w:r w:rsidR="00382292">
        <w:t xml:space="preserve">funding, </w:t>
      </w:r>
      <w:r w:rsidR="0092390D">
        <w:t xml:space="preserve">including </w:t>
      </w:r>
      <w:r w:rsidR="00382292">
        <w:t xml:space="preserve">pursuing </w:t>
      </w:r>
      <w:r w:rsidR="008142E5">
        <w:t>grant opportunities, such as those available through t</w:t>
      </w:r>
      <w:r>
        <w:t>he Inflation Reduction Act, Bipartisan Infrastructure Law</w:t>
      </w:r>
      <w:r w:rsidR="008069EE">
        <w:t xml:space="preserve">, </w:t>
      </w:r>
      <w:r>
        <w:t xml:space="preserve">and other sources. </w:t>
      </w:r>
      <w:r>
        <w:t xml:space="preserve">Once </w:t>
      </w:r>
      <w:r w:rsidR="00382292">
        <w:t>grant and other</w:t>
      </w:r>
      <w:r>
        <w:t xml:space="preserve"> funds are secured, PIIC intends to </w:t>
      </w:r>
      <w:r w:rsidR="00382292">
        <w:t xml:space="preserve">leverage these funds to make additional progress towards the PIIC </w:t>
      </w:r>
      <w:r w:rsidR="00AA4241">
        <w:t xml:space="preserve">Net Zero </w:t>
      </w:r>
      <w:r w:rsidR="00382292">
        <w:t>goal</w:t>
      </w:r>
      <w:r>
        <w:t xml:space="preserve">, such as </w:t>
      </w:r>
      <w:r w:rsidR="008142E5">
        <w:t xml:space="preserve">further commercial electrification, </w:t>
      </w:r>
      <w:r>
        <w:t>energy efficiency measures</w:t>
      </w:r>
      <w:r w:rsidR="008142E5">
        <w:t xml:space="preserve">, and vehicle electrification as well as critical </w:t>
      </w:r>
      <w:r>
        <w:t>energy s</w:t>
      </w:r>
      <w:r w:rsidR="008142E5">
        <w:t>olutions for community member homes.</w:t>
      </w:r>
    </w:p>
    <w:p w:rsidR="00D50650" w:rsidRPr="00D50650" w:rsidP="00D50650"/>
    <w:sectPr w:rsidSect="003A740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9580340"/>
      <w:docPartObj>
        <w:docPartGallery w:val="Page Numbers (Bottom of Page)"/>
        <w:docPartUnique/>
      </w:docPartObj>
    </w:sdtPr>
    <w:sdtEndPr>
      <w:rPr>
        <w:noProof/>
      </w:rPr>
    </w:sdtEndPr>
    <w:sdtContent>
      <w:p w:rsidR="0010038D" w:rsidP="00410963">
        <w:pPr>
          <w:pStyle w:val="Footer"/>
          <w:jc w:val="right"/>
          <w:rPr>
            <w:noProof/>
          </w:rPr>
        </w:pPr>
        <w:r>
          <w:fldChar w:fldCharType="begin"/>
        </w:r>
        <w:r>
          <w:instrText xml:space="preserve"> PAGE   \* MERGEFORMAT </w:instrText>
        </w:r>
        <w:r>
          <w:fldChar w:fldCharType="separate"/>
        </w:r>
        <w:r w:rsidR="000D6286">
          <w:rPr>
            <w:noProof/>
          </w:rPr>
          <w:t>8</w:t>
        </w:r>
        <w:r>
          <w:rPr>
            <w:noProof/>
          </w:rPr>
          <w:fldChar w:fldCharType="end"/>
        </w:r>
      </w:p>
    </w:sdtContent>
  </w:sdt>
  <w:p w:rsidR="00A505CC" w:rsidP="00A505C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4593" w:rsidP="003A7405">
      <w:pPr>
        <w:spacing w:after="0" w:line="240" w:lineRule="auto"/>
      </w:pPr>
      <w:r>
        <w:separator/>
      </w:r>
    </w:p>
  </w:footnote>
  <w:footnote w:type="continuationSeparator" w:id="1">
    <w:p w:rsidR="00E54593" w:rsidP="003A7405">
      <w:pPr>
        <w:spacing w:after="0" w:line="240" w:lineRule="auto"/>
      </w:pPr>
      <w:r>
        <w:continuationSeparator/>
      </w:r>
    </w:p>
  </w:footnote>
  <w:footnote w:id="2">
    <w:p w:rsidR="00525A58">
      <w:pPr>
        <w:pStyle w:val="FootnoteText"/>
      </w:pPr>
      <w:r>
        <w:rPr>
          <w:rStyle w:val="FootnoteReference"/>
        </w:rPr>
        <w:footnoteRef/>
      </w:r>
      <w:r w:rsidRPr="00D35A5B">
        <w:rPr>
          <w:sz w:val="16"/>
          <w:szCs w:val="16"/>
        </w:rPr>
        <w:t xml:space="preserve"> </w:t>
      </w:r>
      <w:r w:rsidRPr="00D35A5B" w:rsidR="00D35A5B">
        <w:rPr>
          <w:sz w:val="16"/>
          <w:szCs w:val="16"/>
        </w:rPr>
        <w:t xml:space="preserve">Amended Laws: </w:t>
      </w:r>
      <w:r w:rsidRPr="00D35A5B">
        <w:rPr>
          <w:rStyle w:val="DefaultParagraphFont"/>
          <w:sz w:val="16"/>
          <w:szCs w:val="16"/>
        </w:rPr>
        <w:t>https://www.revisor.mn.gov/laws/2022/0/Session+Law/Chapter/41/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38D" w:rsidRPr="00684B8F" w:rsidP="003A7405">
    <w:pPr>
      <w:pStyle w:val="Header"/>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228600</wp:posOffset>
              </wp:positionV>
              <wp:extent cx="5667375" cy="0"/>
              <wp:effectExtent l="0" t="0" r="28575" b="1905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a:off x="0" y="0"/>
                        <a:ext cx="5667375" cy="0"/>
                      </a:xfrm>
                      <a:prstGeom prst="line">
                        <a:avLst/>
                      </a:prstGeom>
                      <a:noFill/>
                      <a:ln w="6350">
                        <a:solidFill>
                          <a:sysClr val="window" lastClr="FFFFFF">
                            <a:lumMod val="75000"/>
                          </a:sysClr>
                        </a:solidFill>
                        <a:miter lim="800000"/>
                      </a:ln>
                      <a:effectLst/>
                    </wps:spPr>
                    <wps:bodyPr/>
                  </wps:wsp>
                </a:graphicData>
              </a:graphic>
              <wp14:sizeRelH relativeFrom="margin">
                <wp14:pctWidth>0</wp14:pctWidth>
              </wp14:sizeRelH>
            </wp:anchor>
          </w:drawing>
        </mc:Choice>
        <mc:Fallback>
          <w:pict>
            <v:line id="Straight Connector 4" o:spid="_x0000_s2049" style="mso-position-horizontal:left;mso-position-horizontal-relative:margin;mso-width-percent:0;mso-width-relative:margin;mso-wrap-distance-bottom:0;mso-wrap-distance-left:9pt;mso-wrap-distance-right:9pt;mso-wrap-distance-top:0;mso-wrap-style:square;position:absolute;visibility:visible;z-index:251660288" from="0,18pt" to="446.25pt,18pt" strokecolor="#bfbfbf" strokeweight="0.5pt">
              <v:stroke joinstyle="miter"/>
              <w10:wrap anchorx="margin"/>
            </v:line>
          </w:pict>
        </mc:Fallback>
      </mc:AlternateContent>
    </w:r>
    <w:r w:rsidRPr="00684B8F">
      <w:rPr>
        <w:rFonts w:ascii="Arial Narrow" w:hAnsi="Arial Narrow"/>
        <w:noProof/>
      </w:rPr>
      <w:drawing>
        <wp:anchor distT="0" distB="0" distL="114300" distR="114300" simplePos="0" relativeHeight="251658240" behindDoc="0" locked="0" layoutInCell="1" allowOverlap="1">
          <wp:simplePos x="0" y="0"/>
          <wp:positionH relativeFrom="column">
            <wp:posOffset>5810250</wp:posOffset>
          </wp:positionH>
          <wp:positionV relativeFrom="paragraph">
            <wp:posOffset>-180975</wp:posOffset>
          </wp:positionV>
          <wp:extent cx="647700" cy="635852"/>
          <wp:effectExtent l="0" t="0" r="0" b="0"/>
          <wp:wrapNone/>
          <wp:docPr id="3" name="Picture 3" descr="https://prairieisland.org/wp-content/uploads/2017/02/LOGO-banner-PNG-630x630-v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26907" name="Picture 1" descr="https://prairieisland.org/wp-content/uploads/2017/02/LOGO-banner-PNG-630x630-v006.pn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6667" t="17886" r="16667" b="16666"/>
                  <a:stretch>
                    <a:fillRect/>
                  </a:stretch>
                </pic:blipFill>
                <pic:spPr bwMode="auto">
                  <a:xfrm>
                    <a:off x="0" y="0"/>
                    <a:ext cx="647700" cy="635852"/>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r w:rsidRPr="00684B8F">
      <w:rPr>
        <w:rFonts w:ascii="Arial Narrow" w:hAnsi="Arial Narrow"/>
      </w:rPr>
      <w:t xml:space="preserve">Net Zero </w:t>
    </w:r>
    <w:r>
      <w:rPr>
        <w:rFonts w:ascii="Arial Narrow" w:hAnsi="Arial Narrow"/>
      </w:rPr>
      <w:t xml:space="preserve">Certified Cost </w:t>
    </w:r>
    <w:r w:rsidRPr="00684B8F">
      <w:rPr>
        <w:rFonts w:ascii="Arial Narrow" w:hAnsi="Arial Narrow"/>
      </w:rPr>
      <w:t xml:space="preserve">| </w:t>
    </w:r>
    <w:r>
      <w:rPr>
        <w:rFonts w:ascii="Arial Narrow" w:hAnsi="Arial Narrow"/>
      </w:rPr>
      <w:t>January 2023</w:t>
    </w:r>
  </w:p>
  <w:p w:rsidR="00100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495960"/>
    <w:multiLevelType w:val="multilevel"/>
    <w:tmpl w:val="1460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CF1243"/>
    <w:multiLevelType w:val="hybridMultilevel"/>
    <w:tmpl w:val="815052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375360A"/>
    <w:multiLevelType w:val="multilevel"/>
    <w:tmpl w:val="B2BE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3715A2"/>
    <w:multiLevelType w:val="multilevel"/>
    <w:tmpl w:val="5126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5C6999"/>
    <w:multiLevelType w:val="multilevel"/>
    <w:tmpl w:val="BDC2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FE2E56"/>
    <w:multiLevelType w:val="hybridMultilevel"/>
    <w:tmpl w:val="AEA68BDC"/>
    <w:lvl w:ilvl="0">
      <w:start w:val="1"/>
      <w:numFmt w:val="bullet"/>
      <w:lvlText w:val=""/>
      <w:lvlJc w:val="left"/>
      <w:pPr>
        <w:ind w:left="41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0063FA5"/>
    <w:multiLevelType w:val="multilevel"/>
    <w:tmpl w:val="AB12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0C6B1E"/>
    <w:multiLevelType w:val="hybridMultilevel"/>
    <w:tmpl w:val="5BFADA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81A3712"/>
    <w:multiLevelType w:val="hybridMultilevel"/>
    <w:tmpl w:val="EF8C86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4A562AD"/>
    <w:multiLevelType w:val="hybridMultilevel"/>
    <w:tmpl w:val="A95E19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F2B17FF"/>
    <w:multiLevelType w:val="multilevel"/>
    <w:tmpl w:val="67EE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9D7874"/>
    <w:multiLevelType w:val="hybridMultilevel"/>
    <w:tmpl w:val="024A3F2C"/>
    <w:lvl w:ilvl="0">
      <w:start w:val="1"/>
      <w:numFmt w:val="bullet"/>
      <w:lvlText w:val=""/>
      <w:lvlJc w:val="left"/>
      <w:pPr>
        <w:ind w:left="41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CCE35F9"/>
    <w:multiLevelType w:val="multilevel"/>
    <w:tmpl w:val="A822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3E9284C"/>
    <w:multiLevelType w:val="multilevel"/>
    <w:tmpl w:val="56FC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0D4610"/>
    <w:multiLevelType w:val="multilevel"/>
    <w:tmpl w:val="278A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3507D2"/>
    <w:multiLevelType w:val="hybridMultilevel"/>
    <w:tmpl w:val="7024B656"/>
    <w:lvl w:ilvl="0">
      <w:start w:val="1"/>
      <w:numFmt w:val="bullet"/>
      <w:lvlText w:val="-"/>
      <w:lvlJc w:val="left"/>
      <w:pPr>
        <w:ind w:left="41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C763B7C"/>
    <w:multiLevelType w:val="hybridMultilevel"/>
    <w:tmpl w:val="DA4C273A"/>
    <w:lvl w:ilvl="0">
      <w:start w:val="1"/>
      <w:numFmt w:val="bullet"/>
      <w:lvlText w:val="-"/>
      <w:lvlJc w:val="left"/>
      <w:pPr>
        <w:ind w:left="410" w:hanging="360"/>
      </w:pPr>
      <w:rPr>
        <w:rFonts w:ascii="Calibri" w:hAnsi="Calibri" w:eastAsiaTheme="minorHAnsi" w:cs="Calibri" w:hint="default"/>
      </w:rPr>
    </w:lvl>
    <w:lvl w:ilvl="1" w:tentative="1">
      <w:start w:val="1"/>
      <w:numFmt w:val="bullet"/>
      <w:lvlText w:val="o"/>
      <w:lvlJc w:val="left"/>
      <w:pPr>
        <w:ind w:left="1130" w:hanging="360"/>
      </w:pPr>
      <w:rPr>
        <w:rFonts w:ascii="Courier New" w:hAnsi="Courier New" w:cs="Courier New" w:hint="default"/>
      </w:rPr>
    </w:lvl>
    <w:lvl w:ilvl="2" w:tentative="1">
      <w:start w:val="1"/>
      <w:numFmt w:val="bullet"/>
      <w:lvlText w:val=""/>
      <w:lvlJc w:val="left"/>
      <w:pPr>
        <w:ind w:left="1850" w:hanging="360"/>
      </w:pPr>
      <w:rPr>
        <w:rFonts w:ascii="Wingdings" w:hAnsi="Wingdings" w:hint="default"/>
      </w:rPr>
    </w:lvl>
    <w:lvl w:ilvl="3" w:tentative="1">
      <w:start w:val="1"/>
      <w:numFmt w:val="bullet"/>
      <w:lvlText w:val=""/>
      <w:lvlJc w:val="left"/>
      <w:pPr>
        <w:ind w:left="2570" w:hanging="360"/>
      </w:pPr>
      <w:rPr>
        <w:rFonts w:ascii="Symbol" w:hAnsi="Symbol" w:hint="default"/>
      </w:rPr>
    </w:lvl>
    <w:lvl w:ilvl="4" w:tentative="1">
      <w:start w:val="1"/>
      <w:numFmt w:val="bullet"/>
      <w:lvlText w:val="o"/>
      <w:lvlJc w:val="left"/>
      <w:pPr>
        <w:ind w:left="3290" w:hanging="360"/>
      </w:pPr>
      <w:rPr>
        <w:rFonts w:ascii="Courier New" w:hAnsi="Courier New" w:cs="Courier New" w:hint="default"/>
      </w:rPr>
    </w:lvl>
    <w:lvl w:ilvl="5" w:tentative="1">
      <w:start w:val="1"/>
      <w:numFmt w:val="bullet"/>
      <w:lvlText w:val=""/>
      <w:lvlJc w:val="left"/>
      <w:pPr>
        <w:ind w:left="4010" w:hanging="360"/>
      </w:pPr>
      <w:rPr>
        <w:rFonts w:ascii="Wingdings" w:hAnsi="Wingdings" w:hint="default"/>
      </w:rPr>
    </w:lvl>
    <w:lvl w:ilvl="6" w:tentative="1">
      <w:start w:val="1"/>
      <w:numFmt w:val="bullet"/>
      <w:lvlText w:val=""/>
      <w:lvlJc w:val="left"/>
      <w:pPr>
        <w:ind w:left="4730" w:hanging="360"/>
      </w:pPr>
      <w:rPr>
        <w:rFonts w:ascii="Symbol" w:hAnsi="Symbol" w:hint="default"/>
      </w:rPr>
    </w:lvl>
    <w:lvl w:ilvl="7" w:tentative="1">
      <w:start w:val="1"/>
      <w:numFmt w:val="bullet"/>
      <w:lvlText w:val="o"/>
      <w:lvlJc w:val="left"/>
      <w:pPr>
        <w:ind w:left="5450" w:hanging="360"/>
      </w:pPr>
      <w:rPr>
        <w:rFonts w:ascii="Courier New" w:hAnsi="Courier New" w:cs="Courier New" w:hint="default"/>
      </w:rPr>
    </w:lvl>
    <w:lvl w:ilvl="8" w:tentative="1">
      <w:start w:val="1"/>
      <w:numFmt w:val="bullet"/>
      <w:lvlText w:val=""/>
      <w:lvlJc w:val="left"/>
      <w:pPr>
        <w:ind w:left="6170" w:hanging="360"/>
      </w:pPr>
      <w:rPr>
        <w:rFonts w:ascii="Wingdings" w:hAnsi="Wingdings" w:hint="default"/>
      </w:rPr>
    </w:lvl>
  </w:abstractNum>
  <w:abstractNum w:abstractNumId="17">
    <w:nsid w:val="6CE30A8F"/>
    <w:multiLevelType w:val="hybridMultilevel"/>
    <w:tmpl w:val="742634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67F2F8B"/>
    <w:multiLevelType w:val="hybridMultilevel"/>
    <w:tmpl w:val="4E7C607E"/>
    <w:lvl w:ilvl="0">
      <w:start w:val="1"/>
      <w:numFmt w:val="bullet"/>
      <w:lvlText w:val=""/>
      <w:lvlJc w:val="left"/>
      <w:pPr>
        <w:ind w:left="41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6"/>
  </w:num>
  <w:num w:numId="5">
    <w:abstractNumId w:val="13"/>
  </w:num>
  <w:num w:numId="6">
    <w:abstractNumId w:val="0"/>
  </w:num>
  <w:num w:numId="7">
    <w:abstractNumId w:val="12"/>
  </w:num>
  <w:num w:numId="8">
    <w:abstractNumId w:val="2"/>
  </w:num>
  <w:num w:numId="9">
    <w:abstractNumId w:val="14"/>
  </w:num>
  <w:num w:numId="10">
    <w:abstractNumId w:val="8"/>
  </w:num>
  <w:num w:numId="11">
    <w:abstractNumId w:val="7"/>
  </w:num>
  <w:num w:numId="12">
    <w:abstractNumId w:val="16"/>
  </w:num>
  <w:num w:numId="13">
    <w:abstractNumId w:val="15"/>
  </w:num>
  <w:num w:numId="14">
    <w:abstractNumId w:val="11"/>
  </w:num>
  <w:num w:numId="15">
    <w:abstractNumId w:val="5"/>
  </w:num>
  <w:num w:numId="16">
    <w:abstractNumId w:val="18"/>
  </w:num>
  <w:num w:numId="17">
    <w:abstractNumId w:val="9"/>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40"/>
    <w:rsid w:val="00005D89"/>
    <w:rsid w:val="000115F6"/>
    <w:rsid w:val="00046531"/>
    <w:rsid w:val="00046E6C"/>
    <w:rsid w:val="00053FD1"/>
    <w:rsid w:val="00081F12"/>
    <w:rsid w:val="000862EA"/>
    <w:rsid w:val="000923A3"/>
    <w:rsid w:val="000A0278"/>
    <w:rsid w:val="000C694D"/>
    <w:rsid w:val="000D6286"/>
    <w:rsid w:val="000F48D7"/>
    <w:rsid w:val="0010038D"/>
    <w:rsid w:val="0011353A"/>
    <w:rsid w:val="0011479F"/>
    <w:rsid w:val="0011480B"/>
    <w:rsid w:val="00122773"/>
    <w:rsid w:val="00132173"/>
    <w:rsid w:val="00157AE4"/>
    <w:rsid w:val="00184D13"/>
    <w:rsid w:val="00191816"/>
    <w:rsid w:val="001A012B"/>
    <w:rsid w:val="001C42E2"/>
    <w:rsid w:val="001D655C"/>
    <w:rsid w:val="001E26EE"/>
    <w:rsid w:val="001E5918"/>
    <w:rsid w:val="001F1BA7"/>
    <w:rsid w:val="00200F5D"/>
    <w:rsid w:val="00213892"/>
    <w:rsid w:val="00233AFC"/>
    <w:rsid w:val="00240D80"/>
    <w:rsid w:val="002444DE"/>
    <w:rsid w:val="00260352"/>
    <w:rsid w:val="00262052"/>
    <w:rsid w:val="0026320C"/>
    <w:rsid w:val="002636E3"/>
    <w:rsid w:val="00264AA8"/>
    <w:rsid w:val="00267A9F"/>
    <w:rsid w:val="002714F6"/>
    <w:rsid w:val="002737A3"/>
    <w:rsid w:val="00277717"/>
    <w:rsid w:val="00290863"/>
    <w:rsid w:val="00292567"/>
    <w:rsid w:val="00296A69"/>
    <w:rsid w:val="002A6385"/>
    <w:rsid w:val="002D74B0"/>
    <w:rsid w:val="002E1959"/>
    <w:rsid w:val="00312760"/>
    <w:rsid w:val="00322B43"/>
    <w:rsid w:val="00332524"/>
    <w:rsid w:val="00350340"/>
    <w:rsid w:val="00382292"/>
    <w:rsid w:val="003979D4"/>
    <w:rsid w:val="003A7405"/>
    <w:rsid w:val="003C70D8"/>
    <w:rsid w:val="003E1B26"/>
    <w:rsid w:val="003E6188"/>
    <w:rsid w:val="00410963"/>
    <w:rsid w:val="00434418"/>
    <w:rsid w:val="00460BAE"/>
    <w:rsid w:val="004838D2"/>
    <w:rsid w:val="004941ED"/>
    <w:rsid w:val="004B2A83"/>
    <w:rsid w:val="004D2590"/>
    <w:rsid w:val="004D5A71"/>
    <w:rsid w:val="004F2B79"/>
    <w:rsid w:val="004F6617"/>
    <w:rsid w:val="0050421C"/>
    <w:rsid w:val="00525A58"/>
    <w:rsid w:val="0053350E"/>
    <w:rsid w:val="00534815"/>
    <w:rsid w:val="00543B2B"/>
    <w:rsid w:val="00591A5A"/>
    <w:rsid w:val="0059571F"/>
    <w:rsid w:val="0059702D"/>
    <w:rsid w:val="005A2269"/>
    <w:rsid w:val="005C14D0"/>
    <w:rsid w:val="00600F0F"/>
    <w:rsid w:val="00601C42"/>
    <w:rsid w:val="00605EB0"/>
    <w:rsid w:val="006248C6"/>
    <w:rsid w:val="00681511"/>
    <w:rsid w:val="006821DB"/>
    <w:rsid w:val="00684B8F"/>
    <w:rsid w:val="00694031"/>
    <w:rsid w:val="00696605"/>
    <w:rsid w:val="00697AE5"/>
    <w:rsid w:val="006A0C44"/>
    <w:rsid w:val="006A1881"/>
    <w:rsid w:val="006E5CE8"/>
    <w:rsid w:val="00702285"/>
    <w:rsid w:val="00712036"/>
    <w:rsid w:val="007323D1"/>
    <w:rsid w:val="007354C7"/>
    <w:rsid w:val="00747557"/>
    <w:rsid w:val="00753125"/>
    <w:rsid w:val="007635FD"/>
    <w:rsid w:val="00782EB9"/>
    <w:rsid w:val="007A39ED"/>
    <w:rsid w:val="007B0185"/>
    <w:rsid w:val="007B6A06"/>
    <w:rsid w:val="007D0879"/>
    <w:rsid w:val="007D138E"/>
    <w:rsid w:val="007D5B6B"/>
    <w:rsid w:val="007E6A63"/>
    <w:rsid w:val="007F069A"/>
    <w:rsid w:val="0080607B"/>
    <w:rsid w:val="008069EE"/>
    <w:rsid w:val="008142E5"/>
    <w:rsid w:val="00834068"/>
    <w:rsid w:val="0084683A"/>
    <w:rsid w:val="008546D1"/>
    <w:rsid w:val="00863ED7"/>
    <w:rsid w:val="00877D21"/>
    <w:rsid w:val="00896BC8"/>
    <w:rsid w:val="008A2AED"/>
    <w:rsid w:val="008A3443"/>
    <w:rsid w:val="008A6135"/>
    <w:rsid w:val="008C5A2D"/>
    <w:rsid w:val="00906361"/>
    <w:rsid w:val="00911D12"/>
    <w:rsid w:val="0092390D"/>
    <w:rsid w:val="009406D9"/>
    <w:rsid w:val="00957EC6"/>
    <w:rsid w:val="00975262"/>
    <w:rsid w:val="009C2AC7"/>
    <w:rsid w:val="009D76E2"/>
    <w:rsid w:val="00A01C8B"/>
    <w:rsid w:val="00A06F6B"/>
    <w:rsid w:val="00A07267"/>
    <w:rsid w:val="00A36F97"/>
    <w:rsid w:val="00A42230"/>
    <w:rsid w:val="00A433C0"/>
    <w:rsid w:val="00A505CC"/>
    <w:rsid w:val="00A545A9"/>
    <w:rsid w:val="00A7381F"/>
    <w:rsid w:val="00A76E23"/>
    <w:rsid w:val="00A82CE5"/>
    <w:rsid w:val="00AA4241"/>
    <w:rsid w:val="00AC0E2B"/>
    <w:rsid w:val="00AC63E9"/>
    <w:rsid w:val="00AC71F9"/>
    <w:rsid w:val="00AD33EB"/>
    <w:rsid w:val="00AD622C"/>
    <w:rsid w:val="00AF1BD6"/>
    <w:rsid w:val="00B156C3"/>
    <w:rsid w:val="00B248C1"/>
    <w:rsid w:val="00B300C9"/>
    <w:rsid w:val="00B6012A"/>
    <w:rsid w:val="00B66650"/>
    <w:rsid w:val="00B750AA"/>
    <w:rsid w:val="00B76193"/>
    <w:rsid w:val="00BB6AF7"/>
    <w:rsid w:val="00BC58B6"/>
    <w:rsid w:val="00C120CA"/>
    <w:rsid w:val="00C150ED"/>
    <w:rsid w:val="00C2348D"/>
    <w:rsid w:val="00C4110E"/>
    <w:rsid w:val="00C54EB1"/>
    <w:rsid w:val="00C63B4D"/>
    <w:rsid w:val="00C91DE2"/>
    <w:rsid w:val="00C97F1C"/>
    <w:rsid w:val="00CA33D2"/>
    <w:rsid w:val="00CC4E3A"/>
    <w:rsid w:val="00CD555C"/>
    <w:rsid w:val="00CF4369"/>
    <w:rsid w:val="00D039A3"/>
    <w:rsid w:val="00D109FD"/>
    <w:rsid w:val="00D2129E"/>
    <w:rsid w:val="00D26404"/>
    <w:rsid w:val="00D35A5B"/>
    <w:rsid w:val="00D458E7"/>
    <w:rsid w:val="00D46EC2"/>
    <w:rsid w:val="00D4714B"/>
    <w:rsid w:val="00D50650"/>
    <w:rsid w:val="00D656EE"/>
    <w:rsid w:val="00DB34B2"/>
    <w:rsid w:val="00DC1E30"/>
    <w:rsid w:val="00DC2686"/>
    <w:rsid w:val="00DD3116"/>
    <w:rsid w:val="00E20334"/>
    <w:rsid w:val="00E20F16"/>
    <w:rsid w:val="00E54593"/>
    <w:rsid w:val="00E57011"/>
    <w:rsid w:val="00E71555"/>
    <w:rsid w:val="00E80D72"/>
    <w:rsid w:val="00E946D6"/>
    <w:rsid w:val="00EA0DEC"/>
    <w:rsid w:val="00EA47C0"/>
    <w:rsid w:val="00EC4152"/>
    <w:rsid w:val="00F24E81"/>
    <w:rsid w:val="00F263D1"/>
    <w:rsid w:val="00F26C97"/>
    <w:rsid w:val="00F41C44"/>
    <w:rsid w:val="00F4685F"/>
    <w:rsid w:val="00F505D7"/>
    <w:rsid w:val="00F526E7"/>
    <w:rsid w:val="00F64957"/>
    <w:rsid w:val="00F67CD1"/>
    <w:rsid w:val="00F7099E"/>
    <w:rsid w:val="00F76A00"/>
    <w:rsid w:val="00F7748C"/>
    <w:rsid w:val="00FA5268"/>
    <w:rsid w:val="00FC3626"/>
    <w:rsid w:val="00FE0D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963"/>
    <w:pPr>
      <w:spacing w:before="160"/>
    </w:pPr>
    <w:rPr>
      <w:rFonts w:ascii="Arial" w:hAnsi="Arial"/>
      <w:sz w:val="20"/>
    </w:rPr>
  </w:style>
  <w:style w:type="paragraph" w:styleId="Heading1">
    <w:name w:val="heading 1"/>
    <w:basedOn w:val="Normal"/>
    <w:next w:val="Normal"/>
    <w:link w:val="Heading1Char"/>
    <w:uiPriority w:val="9"/>
    <w:qFormat/>
    <w:rsid w:val="00122773"/>
    <w:pPr>
      <w:keepNext/>
      <w:keepLines/>
      <w:spacing w:before="400"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22773"/>
    <w:pPr>
      <w:keepNext/>
      <w:keepLines/>
      <w:spacing w:before="40" w:after="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D50650"/>
    <w:pPr>
      <w:keepNext/>
      <w:keepLines/>
      <w:spacing w:before="40" w:after="0"/>
      <w:outlineLvl w:val="2"/>
    </w:pPr>
    <w:rPr>
      <w:rFonts w:eastAsiaTheme="majorEastAsia" w:cstheme="majorBidi"/>
      <w:b/>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03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0340"/>
    <w:rPr>
      <w:color w:val="0000FF"/>
      <w:u w:val="single"/>
    </w:rPr>
  </w:style>
  <w:style w:type="table" w:styleId="TableGrid">
    <w:name w:val="Table Grid"/>
    <w:basedOn w:val="TableNormal"/>
    <w:uiPriority w:val="39"/>
    <w:rsid w:val="00601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1DE2"/>
    <w:rPr>
      <w:sz w:val="16"/>
      <w:szCs w:val="16"/>
    </w:rPr>
  </w:style>
  <w:style w:type="paragraph" w:styleId="CommentText">
    <w:name w:val="annotation text"/>
    <w:basedOn w:val="Normal"/>
    <w:link w:val="CommentTextChar"/>
    <w:uiPriority w:val="99"/>
    <w:unhideWhenUsed/>
    <w:rsid w:val="00C91DE2"/>
    <w:pPr>
      <w:spacing w:line="240" w:lineRule="auto"/>
    </w:pPr>
    <w:rPr>
      <w:szCs w:val="20"/>
    </w:rPr>
  </w:style>
  <w:style w:type="character" w:customStyle="1" w:styleId="CommentTextChar">
    <w:name w:val="Comment Text Char"/>
    <w:basedOn w:val="DefaultParagraphFont"/>
    <w:link w:val="CommentText"/>
    <w:uiPriority w:val="99"/>
    <w:rsid w:val="00C91DE2"/>
    <w:rPr>
      <w:sz w:val="20"/>
      <w:szCs w:val="20"/>
    </w:rPr>
  </w:style>
  <w:style w:type="paragraph" w:styleId="CommentSubject">
    <w:name w:val="annotation subject"/>
    <w:basedOn w:val="CommentText"/>
    <w:next w:val="CommentText"/>
    <w:link w:val="CommentSubjectChar"/>
    <w:uiPriority w:val="99"/>
    <w:semiHidden/>
    <w:unhideWhenUsed/>
    <w:rsid w:val="00C91DE2"/>
    <w:rPr>
      <w:b/>
      <w:bCs/>
    </w:rPr>
  </w:style>
  <w:style w:type="character" w:customStyle="1" w:styleId="CommentSubjectChar">
    <w:name w:val="Comment Subject Char"/>
    <w:basedOn w:val="CommentTextChar"/>
    <w:link w:val="CommentSubject"/>
    <w:uiPriority w:val="99"/>
    <w:semiHidden/>
    <w:rsid w:val="00C91DE2"/>
    <w:rPr>
      <w:b/>
      <w:bCs/>
      <w:sz w:val="20"/>
      <w:szCs w:val="20"/>
    </w:rPr>
  </w:style>
  <w:style w:type="paragraph" w:styleId="BalloonText">
    <w:name w:val="Balloon Text"/>
    <w:basedOn w:val="Normal"/>
    <w:link w:val="BalloonTextChar"/>
    <w:uiPriority w:val="99"/>
    <w:semiHidden/>
    <w:unhideWhenUsed/>
    <w:rsid w:val="00C91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DE2"/>
    <w:rPr>
      <w:rFonts w:ascii="Segoe UI" w:hAnsi="Segoe UI" w:cs="Segoe UI"/>
      <w:sz w:val="18"/>
      <w:szCs w:val="18"/>
    </w:rPr>
  </w:style>
  <w:style w:type="paragraph" w:styleId="ListParagraph">
    <w:name w:val="List Paragraph"/>
    <w:basedOn w:val="Normal"/>
    <w:uiPriority w:val="34"/>
    <w:qFormat/>
    <w:rsid w:val="00C63B4D"/>
    <w:pPr>
      <w:ind w:left="720"/>
      <w:contextualSpacing/>
    </w:pPr>
  </w:style>
  <w:style w:type="paragraph" w:customStyle="1" w:styleId="ToFrom">
    <w:name w:val="To/From"/>
    <w:basedOn w:val="Normal"/>
    <w:uiPriority w:val="25"/>
    <w:qFormat/>
    <w:rsid w:val="003A7405"/>
    <w:pPr>
      <w:tabs>
        <w:tab w:val="left" w:pos="720"/>
        <w:tab w:val="left" w:pos="4680"/>
        <w:tab w:val="left" w:pos="5400"/>
      </w:tabs>
      <w:spacing w:after="240" w:line="240" w:lineRule="auto"/>
      <w:contextualSpacing/>
      <w:textAlignment w:val="baseline"/>
    </w:pPr>
    <w:rPr>
      <w:rFonts w:ascii="Times New Roman" w:eastAsia="Times New Roman" w:hAnsi="Times New Roman"/>
      <w:color w:val="000000"/>
      <w:sz w:val="24"/>
    </w:rPr>
  </w:style>
  <w:style w:type="paragraph" w:styleId="Header">
    <w:name w:val="header"/>
    <w:basedOn w:val="Normal"/>
    <w:link w:val="HeaderChar"/>
    <w:uiPriority w:val="99"/>
    <w:unhideWhenUsed/>
    <w:rsid w:val="003A7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405"/>
  </w:style>
  <w:style w:type="paragraph" w:styleId="Footer">
    <w:name w:val="footer"/>
    <w:basedOn w:val="Normal"/>
    <w:link w:val="FooterChar"/>
    <w:uiPriority w:val="99"/>
    <w:unhideWhenUsed/>
    <w:rsid w:val="003A7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405"/>
  </w:style>
  <w:style w:type="character" w:customStyle="1" w:styleId="Heading1Char">
    <w:name w:val="Heading 1 Char"/>
    <w:basedOn w:val="DefaultParagraphFont"/>
    <w:link w:val="Heading1"/>
    <w:uiPriority w:val="9"/>
    <w:rsid w:val="00122773"/>
    <w:rPr>
      <w:rFonts w:ascii="Arial" w:hAnsi="Arial" w:eastAsiaTheme="majorEastAsia" w:cstheme="majorBidi"/>
      <w:b/>
      <w:sz w:val="28"/>
      <w:szCs w:val="32"/>
    </w:rPr>
  </w:style>
  <w:style w:type="paragraph" w:styleId="TOCHeading">
    <w:name w:val="TOC Heading"/>
    <w:basedOn w:val="Heading1"/>
    <w:next w:val="Normal"/>
    <w:uiPriority w:val="39"/>
    <w:unhideWhenUsed/>
    <w:qFormat/>
    <w:rsid w:val="00200F5D"/>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00F5D"/>
    <w:pPr>
      <w:spacing w:after="100"/>
    </w:pPr>
  </w:style>
  <w:style w:type="character" w:customStyle="1" w:styleId="Heading2Char">
    <w:name w:val="Heading 2 Char"/>
    <w:basedOn w:val="DefaultParagraphFont"/>
    <w:link w:val="Heading2"/>
    <w:uiPriority w:val="9"/>
    <w:rsid w:val="00122773"/>
    <w:rPr>
      <w:rFonts w:ascii="Arial" w:hAnsi="Arial" w:eastAsiaTheme="majorEastAsia" w:cstheme="majorBidi"/>
      <w:b/>
      <w:sz w:val="24"/>
      <w:szCs w:val="26"/>
    </w:rPr>
  </w:style>
  <w:style w:type="character" w:customStyle="1" w:styleId="del">
    <w:name w:val="del"/>
    <w:basedOn w:val="DefaultParagraphFont"/>
    <w:rsid w:val="00292567"/>
  </w:style>
  <w:style w:type="paragraph" w:styleId="Caption">
    <w:name w:val="caption"/>
    <w:basedOn w:val="Normal"/>
    <w:next w:val="Normal"/>
    <w:uiPriority w:val="35"/>
    <w:unhideWhenUsed/>
    <w:qFormat/>
    <w:rsid w:val="00122773"/>
    <w:pPr>
      <w:spacing w:before="200" w:after="40" w:line="240" w:lineRule="auto"/>
      <w:jc w:val="center"/>
    </w:pPr>
    <w:rPr>
      <w:i/>
      <w:iCs/>
      <w:color w:val="44546A" w:themeColor="text2"/>
      <w:szCs w:val="18"/>
    </w:rPr>
  </w:style>
  <w:style w:type="paragraph" w:styleId="FootnoteText">
    <w:name w:val="footnote text"/>
    <w:basedOn w:val="Normal"/>
    <w:link w:val="FootnoteTextChar"/>
    <w:uiPriority w:val="99"/>
    <w:semiHidden/>
    <w:unhideWhenUsed/>
    <w:rsid w:val="00122773"/>
    <w:pPr>
      <w:spacing w:after="0" w:line="240" w:lineRule="auto"/>
    </w:pPr>
    <w:rPr>
      <w:szCs w:val="20"/>
    </w:rPr>
  </w:style>
  <w:style w:type="character" w:customStyle="1" w:styleId="FootnoteTextChar">
    <w:name w:val="Footnote Text Char"/>
    <w:basedOn w:val="DefaultParagraphFont"/>
    <w:link w:val="FootnoteText"/>
    <w:uiPriority w:val="99"/>
    <w:semiHidden/>
    <w:rsid w:val="00122773"/>
    <w:rPr>
      <w:sz w:val="20"/>
      <w:szCs w:val="20"/>
    </w:rPr>
  </w:style>
  <w:style w:type="character" w:styleId="FootnoteReference">
    <w:name w:val="footnote reference"/>
    <w:basedOn w:val="DefaultParagraphFont"/>
    <w:uiPriority w:val="99"/>
    <w:semiHidden/>
    <w:unhideWhenUsed/>
    <w:rsid w:val="00122773"/>
    <w:rPr>
      <w:vertAlign w:val="superscript"/>
    </w:rPr>
  </w:style>
  <w:style w:type="paragraph" w:styleId="TableofFigures">
    <w:name w:val="table of figures"/>
    <w:basedOn w:val="Normal"/>
    <w:next w:val="Normal"/>
    <w:uiPriority w:val="99"/>
    <w:unhideWhenUsed/>
    <w:rsid w:val="00DC1E30"/>
    <w:pPr>
      <w:spacing w:after="0"/>
    </w:pPr>
  </w:style>
  <w:style w:type="paragraph" w:styleId="TOC2">
    <w:name w:val="toc 2"/>
    <w:basedOn w:val="Normal"/>
    <w:next w:val="Normal"/>
    <w:autoRedefine/>
    <w:uiPriority w:val="39"/>
    <w:unhideWhenUsed/>
    <w:rsid w:val="00322B43"/>
    <w:pPr>
      <w:spacing w:after="100"/>
      <w:ind w:left="200"/>
    </w:pPr>
  </w:style>
  <w:style w:type="character" w:customStyle="1" w:styleId="Heading3Char">
    <w:name w:val="Heading 3 Char"/>
    <w:basedOn w:val="DefaultParagraphFont"/>
    <w:link w:val="Heading3"/>
    <w:uiPriority w:val="9"/>
    <w:rsid w:val="00D50650"/>
    <w:rPr>
      <w:rFonts w:ascii="Arial" w:hAnsi="Arial" w:eastAsiaTheme="majorEastAsia" w:cstheme="majorBidi"/>
      <w:b/>
      <w:i/>
      <w:szCs w:val="24"/>
    </w:rPr>
  </w:style>
  <w:style w:type="character" w:styleId="FollowedHyperlink">
    <w:name w:val="FollowedHyperlink"/>
    <w:basedOn w:val="DefaultParagraphFont"/>
    <w:uiPriority w:val="99"/>
    <w:semiHidden/>
    <w:unhideWhenUsed/>
    <w:rsid w:val="00264AA8"/>
    <w:rPr>
      <w:color w:val="954F72" w:themeColor="followedHyperlink"/>
      <w:u w:val="single"/>
    </w:rPr>
  </w:style>
  <w:style w:type="character" w:customStyle="1" w:styleId="DocID">
    <w:name w:val="DocID"/>
    <w:basedOn w:val="DefaultParagraphFont"/>
    <w:rsid w:val="00A505CC"/>
    <w:rPr>
      <w:rFonts w:ascii="Times New Roman" w:eastAsia="Franklin Gothic Medium" w:hAnsi="Times New Roman" w:cs="Times New Roman"/>
      <w:b w:val="0"/>
      <w:i w:val="0"/>
      <w:caps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diagramLayout" Target="diagrams/layout1.xml" /><Relationship Id="rId11" Type="http://schemas.openxmlformats.org/officeDocument/2006/relationships/diagramQuickStyle" Target="diagrams/quickStyle1.xml" /><Relationship Id="rId12" Type="http://schemas.openxmlformats.org/officeDocument/2006/relationships/diagramColors" Target="diagrams/colors1.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chart" Target="charts/chart1.xml" /><Relationship Id="rId8" Type="http://schemas.microsoft.com/office/2007/relationships/diagramDrawing" Target="diagrams/drawing1.xml" /><Relationship Id="rId9" Type="http://schemas.openxmlformats.org/officeDocument/2006/relationships/diagramData" Target="diagrams/data1.xml"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charts/_rels/chart1.xml.rels>&#65279;<?xml version="1.0" encoding="utf-8" standalone="yes"?><Relationships xmlns="http://schemas.openxmlformats.org/package/2006/relationships"><Relationship Id="rId1" Type="http://schemas.openxmlformats.org/officeDocument/2006/relationships/package" Target="../embeddings/Microsoft_Excel_Worksheet1.xlsx" /><Relationship Id="rId2" Type="http://schemas.microsoft.com/office/2011/relationships/chartColorStyle" Target="chart/colors1.xml" /><Relationship Id="rId3" Type="http://schemas.microsoft.com/office/2011/relationships/chartStyle" Target="chart/style1.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Use of Net Zero Funds </c:v>
                </c:pt>
              </c:strCache>
            </c:strRef>
          </c:tx>
          <c:spPr>
            <a:ln>
              <a:noFill/>
            </a:ln>
          </c:spPr>
          <c:dPt>
            <c:idx val="0"/>
            <c:bubble3D val="0"/>
            <c:spPr>
              <a:solidFill>
                <a:srgbClr val="A80000"/>
              </a:solidFill>
              <a:ln w="19050">
                <a:noFill/>
              </a:ln>
              <a:effectLst/>
            </c:spPr>
            <c:extLst>
              <c:ext xmlns:c="http://schemas.openxmlformats.org/drawingml/2006/chart" xmlns:c16="http://schemas.microsoft.com/office/drawing/2014/chart" uri="{C3380CC4-5D6E-409C-BE32-E72D297353CC}">
                <c16:uniqueId val="{00000003-1FB6-424C-9BFD-115CF5B3153B}"/>
              </c:ext>
            </c:extLst>
          </c:dPt>
          <c:dPt>
            <c:idx val="1"/>
            <c:bubble3D val="0"/>
            <c:spPr>
              <a:solidFill>
                <a:schemeClr val="accent1">
                  <a:lumMod val="75000"/>
                </a:schemeClr>
              </a:solidFill>
              <a:ln w="19050">
                <a:noFill/>
              </a:ln>
              <a:effectLst/>
            </c:spPr>
            <c:extLst>
              <c:ext xmlns:c="http://schemas.openxmlformats.org/drawingml/2006/chart" xmlns:c16="http://schemas.microsoft.com/office/drawing/2014/chart" uri="{C3380CC4-5D6E-409C-BE32-E72D297353CC}">
                <c16:uniqueId val="{00000004-1FB6-424C-9BFD-115CF5B3153B}"/>
              </c:ext>
            </c:extLst>
          </c:dPt>
          <c:dPt>
            <c:idx val="2"/>
            <c:bubble3D val="0"/>
            <c:spPr>
              <a:solidFill>
                <a:schemeClr val="accent2"/>
              </a:solidFill>
              <a:ln w="19050">
                <a:noFill/>
              </a:ln>
              <a:effectLst/>
            </c:spPr>
            <c:extLst>
              <c:ext xmlns:c="http://schemas.openxmlformats.org/drawingml/2006/chart" xmlns:c16="http://schemas.microsoft.com/office/drawing/2014/chart" uri="{C3380CC4-5D6E-409C-BE32-E72D297353CC}">
                <c16:uniqueId val="{00000001-1FB6-424C-9BFD-115CF5B3153B}"/>
              </c:ext>
            </c:extLst>
          </c:dPt>
          <c:dPt>
            <c:idx val="3"/>
            <c:bubble3D val="0"/>
            <c:spPr>
              <a:solidFill>
                <a:schemeClr val="tx1">
                  <a:lumMod val="50000"/>
                  <a:lumOff val="50000"/>
                </a:schemeClr>
              </a:solidFill>
              <a:ln w="19050">
                <a:noFill/>
              </a:ln>
              <a:effectLst/>
            </c:spPr>
            <c:extLst>
              <c:ext xmlns:c="http://schemas.openxmlformats.org/drawingml/2006/chart" xmlns:c16="http://schemas.microsoft.com/office/drawing/2014/chart" uri="{C3380CC4-5D6E-409C-BE32-E72D297353CC}">
                <c16:uniqueId val="{00000002-1FB6-424C-9BFD-115CF5B3153B}"/>
              </c:ext>
            </c:extLst>
          </c:dPt>
          <c:dPt>
            <c:idx val="4"/>
            <c:bubble3D val="0"/>
            <c:spPr>
              <a:solidFill>
                <a:schemeClr val="accent4">
                  <a:lumMod val="75000"/>
                </a:schemeClr>
              </a:solidFill>
              <a:ln w="19050">
                <a:noFill/>
              </a:ln>
              <a:effectLst/>
            </c:spPr>
            <c:extLst>
              <c:ext xmlns:c="http://schemas.openxmlformats.org/drawingml/2006/chart" xmlns:c16="http://schemas.microsoft.com/office/drawing/2014/chart" uri="{C3380CC4-5D6E-409C-BE32-E72D297353CC}">
                <c16:uniqueId val="{00000009-CA1C-4612-A058-46BC792882E2}"/>
              </c:ext>
            </c:extLst>
          </c:dPt>
          <c:dLbls>
            <c:dLbl>
              <c:idx val="0"/>
              <c:layout>
                <c:manualLayout>
                  <c:x val="-0.0813795377027147"/>
                  <c:y val="-0.48620197423347028"/>
                </c:manualLayout>
              </c:layout>
              <c:dLblPos val="bestFi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3-1FB6-424C-9BFD-115CF5B3153B}"/>
                </c:ext>
              </c:extLst>
            </c:dLbl>
            <c:dLbl>
              <c:idx val="1"/>
              <c:layout>
                <c:manualLayout>
                  <c:x val="0.0007460661620196029"/>
                  <c:y val="0.083027485389690112"/>
                </c:manualLayout>
              </c:layout>
              <c:dLblPos val="bestFi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4-1FB6-424C-9BFD-115CF5B3153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Commercial Electrification </c:v>
                </c:pt>
                <c:pt idx="1">
                  <c:v>Commercial Solar </c:v>
                </c:pt>
                <c:pt idx="2">
                  <c:v>Commercial Commissioning Platform</c:v>
                </c:pt>
                <c:pt idx="3">
                  <c:v>Consultants</c:v>
                </c:pt>
                <c:pt idx="4">
                  <c:v>Operations &amp; Owner's Contingency</c:v>
                </c:pt>
              </c:strCache>
            </c:strRef>
          </c:cat>
          <c:val>
            <c:numRef>
              <c:f>Sheet1!$B$2:$B$6</c:f>
              <c:numCache>
                <c:formatCode>_("$"* #,##0.00_);_("$"* \(#,##0.00\);_("$"* "-"??_);_(@_)</c:formatCode>
                <c:ptCount val="5"/>
                <c:pt idx="0">
                  <c:v>26763205.15</c:v>
                </c:pt>
                <c:pt idx="1">
                  <c:v>12741712</c:v>
                </c:pt>
                <c:pt idx="2">
                  <c:v>65240</c:v>
                </c:pt>
                <c:pt idx="3">
                  <c:v>4878210.66</c:v>
                </c:pt>
                <c:pt idx="4">
                  <c:v>1751632.19</c:v>
                </c:pt>
              </c:numCache>
            </c:numRef>
          </c:val>
          <c:extLst>
            <c:ext xmlns:c="http://schemas.openxmlformats.org/drawingml/2006/chart" xmlns:c16="http://schemas.microsoft.com/office/drawing/2014/chart" uri="{C3380CC4-5D6E-409C-BE32-E72D297353CC}">
              <c16:uniqueId val="{00000000-1FB6-424C-9BFD-115CF5B3153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2250379330603"/>
          <c:y val="0.088800813773876358"/>
          <c:w val="0.22237302462796016"/>
          <c:h val="0.8018283318300383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rgbClr val="E2E2E2"/>
    </a:solidFill>
    <a:ln w="9525">
      <a:no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D16143-01ED-4B3C-9B4F-F5C5FCE5EAEF}"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3C5F138C-6F2C-41CF-AE3A-85488961C57E}">
      <dgm:prSet phldrT="[Text]" custT="1"/>
      <dgm:spPr>
        <a:solidFill>
          <a:schemeClr val="accent1">
            <a:lumMod val="75000"/>
          </a:schemeClr>
        </a:solidFill>
        <a:ln>
          <a:noFill/>
        </a:ln>
      </dgm:spPr>
      <dgm:t>
        <a:bodyPr/>
        <a:lstStyle/>
        <a:p>
          <a:r>
            <a:rPr lang="en-US" sz="1000" b="1">
              <a:latin typeface="Arial" panose="020B0604020202020204" pitchFamily="34" charset="0"/>
              <a:cs typeface="Arial" panose="020B0604020202020204" pitchFamily="34" charset="0"/>
            </a:rPr>
            <a:t>PHASE I</a:t>
          </a:r>
        </a:p>
        <a:p>
          <a:r>
            <a:rPr lang="en-US" sz="1000">
              <a:latin typeface="Arial" panose="020B0604020202020204" pitchFamily="34" charset="0"/>
              <a:cs typeface="Arial" panose="020B0604020202020204" pitchFamily="34" charset="0"/>
            </a:rPr>
            <a:t>Net Zero Project Plan</a:t>
          </a:r>
        </a:p>
      </dgm:t>
    </dgm:pt>
    <dgm:pt modelId="{4C2993F3-5D84-423C-8006-801BEBE07156}" type="parTrans" cxnId="{076C47CC-36F4-4F44-AD25-6CA11ADAB691}">
      <dgm:prSet/>
      <dgm:spPr/>
      <dgm:t>
        <a:bodyPr/>
        <a:lstStyle/>
        <a:p>
          <a:endParaRPr lang="en-US" sz="1000">
            <a:latin typeface="Arial" panose="020B0604020202020204" pitchFamily="34" charset="0"/>
            <a:cs typeface="Arial" panose="020B0604020202020204" pitchFamily="34" charset="0"/>
          </a:endParaRPr>
        </a:p>
      </dgm:t>
    </dgm:pt>
    <dgm:pt modelId="{DE3BCDE3-97FB-4025-907C-1228F53CD0FE}" type="sibTrans" cxnId="{076C47CC-36F4-4F44-AD25-6CA11ADAB691}">
      <dgm:prSet/>
      <dgm:spPr/>
      <dgm:t>
        <a:bodyPr/>
        <a:lstStyle/>
        <a:p>
          <a:endParaRPr lang="en-US" sz="1000">
            <a:latin typeface="Arial" panose="020B0604020202020204" pitchFamily="34" charset="0"/>
            <a:cs typeface="Arial" panose="020B0604020202020204" pitchFamily="34" charset="0"/>
          </a:endParaRPr>
        </a:p>
      </dgm:t>
    </dgm:pt>
    <dgm:pt modelId="{572DAC00-3FD0-478E-A3C7-7AF9BC646C99}">
      <dgm:prSet phldrT="[Text]" custT="1"/>
      <dgm:spPr>
        <a:solidFill>
          <a:srgbClr val="6996CD">
            <a:alpha val="30000"/>
          </a:srgbClr>
        </a:solidFill>
        <a:ln>
          <a:noFill/>
        </a:ln>
      </dgm:spPr>
      <dgm:t>
        <a:bodyPr/>
        <a:lstStyle/>
        <a:p>
          <a:r>
            <a:rPr lang="en-US" sz="1000">
              <a:latin typeface="Arial" panose="020B0604020202020204" pitchFamily="34" charset="0"/>
              <a:cs typeface="Arial" panose="020B0604020202020204" pitchFamily="34" charset="0"/>
            </a:rPr>
            <a:t>Phase I Plan Completed July 1, 2021</a:t>
          </a:r>
        </a:p>
      </dgm:t>
    </dgm:pt>
    <dgm:pt modelId="{A42674D4-1CB3-4C56-8FED-249AAB4459C7}" type="parTrans" cxnId="{3D09EC1A-D7BB-46E4-9C9C-608E1608548A}">
      <dgm:prSet/>
      <dgm:spPr/>
      <dgm:t>
        <a:bodyPr/>
        <a:lstStyle/>
        <a:p>
          <a:endParaRPr lang="en-US" sz="1000">
            <a:latin typeface="Arial" panose="020B0604020202020204" pitchFamily="34" charset="0"/>
            <a:cs typeface="Arial" panose="020B0604020202020204" pitchFamily="34" charset="0"/>
          </a:endParaRPr>
        </a:p>
      </dgm:t>
    </dgm:pt>
    <dgm:pt modelId="{DE312517-BA72-4E98-8DF9-91F77F7D7C47}" type="sibTrans" cxnId="{3D09EC1A-D7BB-46E4-9C9C-608E1608548A}">
      <dgm:prSet/>
      <dgm:spPr/>
      <dgm:t>
        <a:bodyPr/>
        <a:lstStyle/>
        <a:p>
          <a:endParaRPr lang="en-US" sz="1000">
            <a:latin typeface="Arial" panose="020B0604020202020204" pitchFamily="34" charset="0"/>
            <a:cs typeface="Arial" panose="020B0604020202020204" pitchFamily="34" charset="0"/>
          </a:endParaRPr>
        </a:p>
      </dgm:t>
    </dgm:pt>
    <dgm:pt modelId="{DE183F53-9BBF-4863-981C-E3A7C6EF43D2}">
      <dgm:prSet phldrT="[Text]" custT="1"/>
      <dgm:spPr>
        <a:solidFill>
          <a:srgbClr val="A80000"/>
        </a:solidFill>
        <a:ln>
          <a:noFill/>
        </a:ln>
      </dgm:spPr>
      <dgm:t>
        <a:bodyPr/>
        <a:lstStyle/>
        <a:p>
          <a:r>
            <a:rPr lang="en-US" sz="1000" b="1">
              <a:latin typeface="Arial" panose="020B0604020202020204" pitchFamily="34" charset="0"/>
              <a:cs typeface="Arial" panose="020B0604020202020204" pitchFamily="34" charset="0"/>
            </a:rPr>
            <a:t>PHASE II</a:t>
          </a:r>
        </a:p>
        <a:p>
          <a:r>
            <a:rPr lang="en-US" sz="1000">
              <a:latin typeface="Arial" panose="020B0604020202020204" pitchFamily="34" charset="0"/>
              <a:cs typeface="Arial" panose="020B0604020202020204" pitchFamily="34" charset="0"/>
            </a:rPr>
            <a:t>Costing and Contractor Procurement</a:t>
          </a:r>
        </a:p>
      </dgm:t>
    </dgm:pt>
    <dgm:pt modelId="{A3E6CCA3-A886-434C-9CC3-869D19C2B4B8}" type="parTrans" cxnId="{00DAD646-8972-4FB2-82C9-EA7357A19FED}">
      <dgm:prSet/>
      <dgm:spPr/>
      <dgm:t>
        <a:bodyPr/>
        <a:lstStyle/>
        <a:p>
          <a:endParaRPr lang="en-US" sz="1000">
            <a:latin typeface="Arial" panose="020B0604020202020204" pitchFamily="34" charset="0"/>
            <a:cs typeface="Arial" panose="020B0604020202020204" pitchFamily="34" charset="0"/>
          </a:endParaRPr>
        </a:p>
      </dgm:t>
    </dgm:pt>
    <dgm:pt modelId="{F47B492C-6CD9-4D0B-9367-DB3721C67782}" type="sibTrans" cxnId="{00DAD646-8972-4FB2-82C9-EA7357A19FED}">
      <dgm:prSet/>
      <dgm:spPr/>
      <dgm:t>
        <a:bodyPr/>
        <a:lstStyle/>
        <a:p>
          <a:endParaRPr lang="en-US" sz="1000">
            <a:latin typeface="Arial" panose="020B0604020202020204" pitchFamily="34" charset="0"/>
            <a:cs typeface="Arial" panose="020B0604020202020204" pitchFamily="34" charset="0"/>
          </a:endParaRPr>
        </a:p>
      </dgm:t>
    </dgm:pt>
    <dgm:pt modelId="{00D3DCDE-3222-46DE-9610-A39C602A2559}">
      <dgm:prSet phldrT="[Text]" custT="1"/>
      <dgm:spPr>
        <a:solidFill>
          <a:srgbClr val="A60331">
            <a:alpha val="30000"/>
          </a:srgbClr>
        </a:solidFill>
        <a:ln>
          <a:noFill/>
        </a:ln>
      </dgm:spPr>
      <dgm:t>
        <a:bodyPr/>
        <a:lstStyle/>
        <a:p>
          <a:pPr>
            <a:spcBef>
              <a:spcPts val="600"/>
            </a:spcBef>
            <a:spcAft>
              <a:spcPts val="600"/>
            </a:spcAft>
          </a:pPr>
          <a:r>
            <a:rPr lang="en-US" sz="1000">
              <a:latin typeface="Arial" panose="020B0604020202020204" pitchFamily="34" charset="0"/>
              <a:cs typeface="Arial" panose="020B0604020202020204" pitchFamily="34" charset="0"/>
            </a:rPr>
            <a:t>Annual Progress Report Completed July 1, 2022</a:t>
          </a:r>
        </a:p>
      </dgm:t>
    </dgm:pt>
    <dgm:pt modelId="{7245FA94-A253-4D1B-959A-A868EB27F9B3}" type="parTrans" cxnId="{3BAEB72C-3A54-4DBB-8309-910699D67154}">
      <dgm:prSet/>
      <dgm:spPr/>
      <dgm:t>
        <a:bodyPr/>
        <a:lstStyle/>
        <a:p>
          <a:endParaRPr lang="en-US" sz="1000">
            <a:latin typeface="Arial" panose="020B0604020202020204" pitchFamily="34" charset="0"/>
            <a:cs typeface="Arial" panose="020B0604020202020204" pitchFamily="34" charset="0"/>
          </a:endParaRPr>
        </a:p>
      </dgm:t>
    </dgm:pt>
    <dgm:pt modelId="{871BD424-F4E4-43FA-8870-B4272791760E}" type="sibTrans" cxnId="{3BAEB72C-3A54-4DBB-8309-910699D67154}">
      <dgm:prSet/>
      <dgm:spPr/>
      <dgm:t>
        <a:bodyPr/>
        <a:lstStyle/>
        <a:p>
          <a:endParaRPr lang="en-US" sz="1000">
            <a:latin typeface="Arial" panose="020B0604020202020204" pitchFamily="34" charset="0"/>
            <a:cs typeface="Arial" panose="020B0604020202020204" pitchFamily="34" charset="0"/>
          </a:endParaRPr>
        </a:p>
      </dgm:t>
    </dgm:pt>
    <dgm:pt modelId="{F285B0E2-D4BD-4F83-8787-D988A23B62CC}">
      <dgm:prSet phldrT="[Text]" custT="1"/>
      <dgm:spPr>
        <a:solidFill>
          <a:srgbClr val="A60331">
            <a:alpha val="30000"/>
          </a:srgbClr>
        </a:solidFill>
        <a:ln>
          <a:noFill/>
        </a:ln>
      </dgm:spPr>
      <dgm:t>
        <a:bodyPr/>
        <a:lstStyle/>
        <a:p>
          <a:pPr>
            <a:spcBef>
              <a:spcPts val="600"/>
            </a:spcBef>
            <a:spcAft>
              <a:spcPts val="600"/>
            </a:spcAft>
          </a:pPr>
          <a:r>
            <a:rPr lang="en-US" sz="1000">
              <a:latin typeface="Arial" panose="020B0604020202020204" pitchFamily="34" charset="0"/>
              <a:cs typeface="Arial" panose="020B0604020202020204" pitchFamily="34" charset="0"/>
            </a:rPr>
            <a:t>Certified Total Cost Completed January 1, 2023</a:t>
          </a:r>
        </a:p>
      </dgm:t>
    </dgm:pt>
    <dgm:pt modelId="{3B0B75CB-DE3B-4E19-98B9-FB527B48EDDD}" type="parTrans" cxnId="{68AF6C1D-D80B-4B47-B6F6-AC8379CAC596}">
      <dgm:prSet/>
      <dgm:spPr/>
      <dgm:t>
        <a:bodyPr/>
        <a:lstStyle/>
        <a:p>
          <a:endParaRPr lang="en-US" sz="1000">
            <a:latin typeface="Arial" panose="020B0604020202020204" pitchFamily="34" charset="0"/>
            <a:cs typeface="Arial" panose="020B0604020202020204" pitchFamily="34" charset="0"/>
          </a:endParaRPr>
        </a:p>
      </dgm:t>
    </dgm:pt>
    <dgm:pt modelId="{F8DCB5EE-5F5D-4DCE-B117-8D08C9E762D2}" type="sibTrans" cxnId="{68AF6C1D-D80B-4B47-B6F6-AC8379CAC596}">
      <dgm:prSet/>
      <dgm:spPr/>
      <dgm:t>
        <a:bodyPr/>
        <a:lstStyle/>
        <a:p>
          <a:endParaRPr lang="en-US" sz="1000">
            <a:latin typeface="Arial" panose="020B0604020202020204" pitchFamily="34" charset="0"/>
            <a:cs typeface="Arial" panose="020B0604020202020204" pitchFamily="34" charset="0"/>
          </a:endParaRPr>
        </a:p>
      </dgm:t>
    </dgm:pt>
    <dgm:pt modelId="{ABA0C694-BD13-4C3C-9B3A-AF746ED3E775}">
      <dgm:prSet phldrT="[Text]" custT="1"/>
      <dgm:spPr>
        <a:solidFill>
          <a:schemeClr val="tx1">
            <a:lumMod val="50000"/>
            <a:lumOff val="50000"/>
          </a:schemeClr>
        </a:solidFill>
        <a:ln>
          <a:noFill/>
        </a:ln>
      </dgm:spPr>
      <dgm:t>
        <a:bodyPr/>
        <a:lstStyle/>
        <a:p>
          <a:r>
            <a:rPr lang="en-US" sz="1000" b="1">
              <a:latin typeface="Arial" panose="020B0604020202020204" pitchFamily="34" charset="0"/>
              <a:cs typeface="Arial" panose="020B0604020202020204" pitchFamily="34" charset="0"/>
            </a:rPr>
            <a:t>PHASE III</a:t>
          </a:r>
        </a:p>
        <a:p>
          <a:r>
            <a:rPr lang="en-US" sz="1000">
              <a:latin typeface="Arial" panose="020B0604020202020204" pitchFamily="34" charset="0"/>
              <a:cs typeface="Arial" panose="020B0604020202020204" pitchFamily="34" charset="0"/>
            </a:rPr>
            <a:t>Construction and Implementation</a:t>
          </a:r>
        </a:p>
      </dgm:t>
    </dgm:pt>
    <dgm:pt modelId="{E59E40D2-18E1-4E17-8349-8A1AA66C5CE4}" type="parTrans" cxnId="{E8A3D6DD-9F1D-48C3-AC97-781B67C3FB23}">
      <dgm:prSet/>
      <dgm:spPr/>
      <dgm:t>
        <a:bodyPr/>
        <a:lstStyle/>
        <a:p>
          <a:endParaRPr lang="en-US" sz="1000">
            <a:latin typeface="Arial" panose="020B0604020202020204" pitchFamily="34" charset="0"/>
            <a:cs typeface="Arial" panose="020B0604020202020204" pitchFamily="34" charset="0"/>
          </a:endParaRPr>
        </a:p>
      </dgm:t>
    </dgm:pt>
    <dgm:pt modelId="{5EE7ACEE-78A7-4ED3-A062-B9AE3BBEC046}" type="sibTrans" cxnId="{E8A3D6DD-9F1D-48C3-AC97-781B67C3FB23}">
      <dgm:prSet/>
      <dgm:spPr/>
      <dgm:t>
        <a:bodyPr/>
        <a:lstStyle/>
        <a:p>
          <a:endParaRPr lang="en-US" sz="1000">
            <a:latin typeface="Arial" panose="020B0604020202020204" pitchFamily="34" charset="0"/>
            <a:cs typeface="Arial" panose="020B0604020202020204" pitchFamily="34" charset="0"/>
          </a:endParaRPr>
        </a:p>
      </dgm:t>
    </dgm:pt>
    <dgm:pt modelId="{4B57B78A-CFB9-447B-A45E-28F7DF61C641}">
      <dgm:prSet phldrT="[Text]" custT="1"/>
      <dgm:spPr>
        <a:solidFill>
          <a:srgbClr val="8C8C8C">
            <a:alpha val="30000"/>
          </a:srgbClr>
        </a:solidFill>
        <a:ln>
          <a:noFill/>
        </a:ln>
      </dgm:spPr>
      <dgm:t>
        <a:bodyPr/>
        <a:lstStyle/>
        <a:p>
          <a:r>
            <a:rPr lang="en-US" sz="1000">
              <a:latin typeface="Arial" panose="020B0604020202020204" pitchFamily="34" charset="0"/>
              <a:cs typeface="Arial" panose="020B0604020202020204" pitchFamily="34" charset="0"/>
            </a:rPr>
            <a:t>Progress Reports to be Completed July 1, 2023+</a:t>
          </a:r>
        </a:p>
      </dgm:t>
    </dgm:pt>
    <dgm:pt modelId="{11F60AD8-EBA8-4096-941E-001E0FCC3C4E}" type="parTrans" cxnId="{D6217FC2-787B-4E52-86D1-F8F338D9D47A}">
      <dgm:prSet/>
      <dgm:spPr/>
      <dgm:t>
        <a:bodyPr/>
        <a:lstStyle/>
        <a:p>
          <a:endParaRPr lang="en-US" sz="1000">
            <a:latin typeface="Arial" panose="020B0604020202020204" pitchFamily="34" charset="0"/>
            <a:cs typeface="Arial" panose="020B0604020202020204" pitchFamily="34" charset="0"/>
          </a:endParaRPr>
        </a:p>
      </dgm:t>
    </dgm:pt>
    <dgm:pt modelId="{011480EC-1F99-4C0D-86E6-A66C4B91E895}" type="sibTrans" cxnId="{D6217FC2-787B-4E52-86D1-F8F338D9D47A}">
      <dgm:prSet/>
      <dgm:spPr/>
      <dgm:t>
        <a:bodyPr/>
        <a:lstStyle/>
        <a:p>
          <a:endParaRPr lang="en-US" sz="1000">
            <a:latin typeface="Arial" panose="020B0604020202020204" pitchFamily="34" charset="0"/>
            <a:cs typeface="Arial" panose="020B0604020202020204" pitchFamily="34" charset="0"/>
          </a:endParaRPr>
        </a:p>
      </dgm:t>
    </dgm:pt>
    <dgm:pt modelId="{A5712B27-6072-40BB-A171-D001B082C420}" type="pres">
      <dgm:prSet presAssocID="{76D16143-01ED-4B3C-9B4F-F5C5FCE5EAEF}" presName="Name0" presStyleCnt="0">
        <dgm:presLayoutVars>
          <dgm:dir val="norm"/>
          <dgm:animLvl val="lvl"/>
          <dgm:resizeHandles val="exact"/>
        </dgm:presLayoutVars>
      </dgm:prSet>
      <dgm:spPr/>
      <dgm:t>
        <a:bodyPr/>
        <a:lstStyle/>
        <a:p>
          <a:endParaRPr lang="en-US"/>
        </a:p>
      </dgm:t>
    </dgm:pt>
    <dgm:pt modelId="{3713E0E2-2B56-4358-9539-B52AAB0C1A77}" type="pres">
      <dgm:prSet presAssocID="{3C5F138C-6F2C-41CF-AE3A-85488961C57E}" presName="composite" presStyleCnt="0"/>
      <dgm:spPr/>
    </dgm:pt>
    <dgm:pt modelId="{31EA3786-8623-4EC9-89AE-A1A08E5E8FF3}" type="pres">
      <dgm:prSet presAssocID="{3C5F138C-6F2C-41CF-AE3A-85488961C57E}" presName="parTx" presStyleLbl="alignNode1" presStyleIdx="0" presStyleCnt="3">
        <dgm:presLayoutVars>
          <dgm:chMax val="0"/>
          <dgm:chPref val="0"/>
          <dgm:bulletEnabled val="1"/>
        </dgm:presLayoutVars>
      </dgm:prSet>
      <dgm:spPr/>
      <dgm:t>
        <a:bodyPr/>
        <a:lstStyle/>
        <a:p>
          <a:endParaRPr lang="en-US"/>
        </a:p>
      </dgm:t>
    </dgm:pt>
    <dgm:pt modelId="{61E1EDB4-F57D-4400-9BC1-6C255B4C80A6}" type="pres">
      <dgm:prSet presAssocID="{3C5F138C-6F2C-41CF-AE3A-85488961C57E}" presName="desTx" presStyleLbl="alignAccFollowNode1" presStyleIdx="0" presStyleCnt="3">
        <dgm:presLayoutVars>
          <dgm:bulletEnabled val="1"/>
        </dgm:presLayoutVars>
      </dgm:prSet>
      <dgm:spPr/>
      <dgm:t>
        <a:bodyPr/>
        <a:lstStyle/>
        <a:p>
          <a:endParaRPr lang="en-US"/>
        </a:p>
      </dgm:t>
    </dgm:pt>
    <dgm:pt modelId="{7BBCC804-6494-428B-AAA3-D677D6091760}" type="pres">
      <dgm:prSet presAssocID="{DE3BCDE3-97FB-4025-907C-1228F53CD0FE}" presName="space" presStyleCnt="0"/>
      <dgm:spPr/>
    </dgm:pt>
    <dgm:pt modelId="{81CD2325-EEFF-4F36-9849-3154A9319B1B}" type="pres">
      <dgm:prSet presAssocID="{DE183F53-9BBF-4863-981C-E3A7C6EF43D2}" presName="composite" presStyleCnt="0"/>
      <dgm:spPr/>
    </dgm:pt>
    <dgm:pt modelId="{49D02F7B-3E83-42BF-832D-D6C9D2B7227B}" type="pres">
      <dgm:prSet presAssocID="{DE183F53-9BBF-4863-981C-E3A7C6EF43D2}" presName="parTx" presStyleLbl="alignNode1" presStyleIdx="1" presStyleCnt="3">
        <dgm:presLayoutVars>
          <dgm:chMax val="0"/>
          <dgm:chPref val="0"/>
          <dgm:bulletEnabled val="1"/>
        </dgm:presLayoutVars>
      </dgm:prSet>
      <dgm:spPr/>
      <dgm:t>
        <a:bodyPr/>
        <a:lstStyle/>
        <a:p>
          <a:endParaRPr lang="en-US"/>
        </a:p>
      </dgm:t>
    </dgm:pt>
    <dgm:pt modelId="{B210C618-9893-403A-8E72-287F3D8C1832}" type="pres">
      <dgm:prSet presAssocID="{DE183F53-9BBF-4863-981C-E3A7C6EF43D2}" presName="desTx" presStyleLbl="alignAccFollowNode1" presStyleIdx="1" presStyleCnt="3">
        <dgm:presLayoutVars>
          <dgm:bulletEnabled val="1"/>
        </dgm:presLayoutVars>
      </dgm:prSet>
      <dgm:spPr/>
      <dgm:t>
        <a:bodyPr/>
        <a:lstStyle/>
        <a:p>
          <a:endParaRPr lang="en-US"/>
        </a:p>
      </dgm:t>
    </dgm:pt>
    <dgm:pt modelId="{2C622396-1A2F-49D3-BC61-935D1EA32B61}" type="pres">
      <dgm:prSet presAssocID="{F47B492C-6CD9-4D0B-9367-DB3721C67782}" presName="space" presStyleCnt="0"/>
      <dgm:spPr/>
    </dgm:pt>
    <dgm:pt modelId="{20898831-8843-49E1-9153-05CF51607BCC}" type="pres">
      <dgm:prSet presAssocID="{ABA0C694-BD13-4C3C-9B3A-AF746ED3E775}" presName="composite" presStyleCnt="0"/>
      <dgm:spPr/>
    </dgm:pt>
    <dgm:pt modelId="{8DE47243-EC6E-4ED0-9CC8-A3480639B514}" type="pres">
      <dgm:prSet presAssocID="{ABA0C694-BD13-4C3C-9B3A-AF746ED3E775}" presName="parTx" presStyleLbl="alignNode1" presStyleIdx="2" presStyleCnt="3">
        <dgm:presLayoutVars>
          <dgm:chMax val="0"/>
          <dgm:chPref val="0"/>
          <dgm:bulletEnabled val="1"/>
        </dgm:presLayoutVars>
      </dgm:prSet>
      <dgm:spPr/>
      <dgm:t>
        <a:bodyPr/>
        <a:lstStyle/>
        <a:p>
          <a:endParaRPr lang="en-US"/>
        </a:p>
      </dgm:t>
    </dgm:pt>
    <dgm:pt modelId="{66BE4DB1-3942-4B6B-9D09-5ED7A020269D}" type="pres">
      <dgm:prSet presAssocID="{ABA0C694-BD13-4C3C-9B3A-AF746ED3E775}" presName="desTx" presStyleLbl="alignAccFollowNode1" presStyleIdx="2" presStyleCnt="3">
        <dgm:presLayoutVars>
          <dgm:bulletEnabled val="1"/>
        </dgm:presLayoutVars>
      </dgm:prSet>
      <dgm:spPr/>
      <dgm:t>
        <a:bodyPr/>
        <a:lstStyle/>
        <a:p>
          <a:endParaRPr lang="en-US"/>
        </a:p>
      </dgm:t>
    </dgm:pt>
  </dgm:ptLst>
  <dgm:cxnLst>
    <dgm:cxn modelId="{3D09EC1A-D7BB-46E4-9C9C-608E1608548A}" srcId="{3C5F138C-6F2C-41CF-AE3A-85488961C57E}" destId="{572DAC00-3FD0-478E-A3C7-7AF9BC646C99}" srcOrd="0" destOrd="0" parTransId="{A42674D4-1CB3-4C56-8FED-249AAB4459C7}" sibTransId="{DE312517-BA72-4E98-8DF9-91F77F7D7C47}"/>
    <dgm:cxn modelId="{E8A3D6DD-9F1D-48C3-AC97-781B67C3FB23}" srcId="{76D16143-01ED-4B3C-9B4F-F5C5FCE5EAEF}" destId="{ABA0C694-BD13-4C3C-9B3A-AF746ED3E775}" srcOrd="2" destOrd="0" parTransId="{E59E40D2-18E1-4E17-8349-8A1AA66C5CE4}" sibTransId="{5EE7ACEE-78A7-4ED3-A062-B9AE3BBEC046}"/>
    <dgm:cxn modelId="{076C47CC-36F4-4F44-AD25-6CA11ADAB691}" srcId="{76D16143-01ED-4B3C-9B4F-F5C5FCE5EAEF}" destId="{3C5F138C-6F2C-41CF-AE3A-85488961C57E}" srcOrd="0" destOrd="0" parTransId="{4C2993F3-5D84-423C-8006-801BEBE07156}" sibTransId="{DE3BCDE3-97FB-4025-907C-1228F53CD0FE}"/>
    <dgm:cxn modelId="{C7D0FE2A-C14B-43E7-8C7D-E3B50A47BA90}" type="presOf" srcId="{DE183F53-9BBF-4863-981C-E3A7C6EF43D2}" destId="{49D02F7B-3E83-42BF-832D-D6C9D2B7227B}" srcOrd="0" destOrd="0" presId="urn:microsoft.com/office/officeart/2005/8/layout/hList1"/>
    <dgm:cxn modelId="{58520BF8-6D40-41F0-BDC3-5C36914E65D9}" type="presOf" srcId="{00D3DCDE-3222-46DE-9610-A39C602A2559}" destId="{B210C618-9893-403A-8E72-287F3D8C1832}" srcOrd="0" destOrd="0" presId="urn:microsoft.com/office/officeart/2005/8/layout/hList1"/>
    <dgm:cxn modelId="{68AF6C1D-D80B-4B47-B6F6-AC8379CAC596}" srcId="{DE183F53-9BBF-4863-981C-E3A7C6EF43D2}" destId="{F285B0E2-D4BD-4F83-8787-D988A23B62CC}" srcOrd="1" destOrd="0" parTransId="{3B0B75CB-DE3B-4E19-98B9-FB527B48EDDD}" sibTransId="{F8DCB5EE-5F5D-4DCE-B117-8D08C9E762D2}"/>
    <dgm:cxn modelId="{361E1F39-718F-4A8B-A721-0FFFF5C24986}" type="presOf" srcId="{3C5F138C-6F2C-41CF-AE3A-85488961C57E}" destId="{31EA3786-8623-4EC9-89AE-A1A08E5E8FF3}" srcOrd="0" destOrd="0" presId="urn:microsoft.com/office/officeart/2005/8/layout/hList1"/>
    <dgm:cxn modelId="{3BAEB72C-3A54-4DBB-8309-910699D67154}" srcId="{DE183F53-9BBF-4863-981C-E3A7C6EF43D2}" destId="{00D3DCDE-3222-46DE-9610-A39C602A2559}" srcOrd="0" destOrd="0" parTransId="{7245FA94-A253-4D1B-959A-A868EB27F9B3}" sibTransId="{871BD424-F4E4-43FA-8870-B4272791760E}"/>
    <dgm:cxn modelId="{750F98E2-A144-432B-AD7D-6CB13881F202}" type="presOf" srcId="{572DAC00-3FD0-478E-A3C7-7AF9BC646C99}" destId="{61E1EDB4-F57D-4400-9BC1-6C255B4C80A6}" srcOrd="0" destOrd="0" presId="urn:microsoft.com/office/officeart/2005/8/layout/hList1"/>
    <dgm:cxn modelId="{FC05C511-57F5-4A42-A2F2-1B4EC28D5D82}" type="presOf" srcId="{76D16143-01ED-4B3C-9B4F-F5C5FCE5EAEF}" destId="{A5712B27-6072-40BB-A171-D001B082C420}" srcOrd="0" destOrd="0" presId="urn:microsoft.com/office/officeart/2005/8/layout/hList1"/>
    <dgm:cxn modelId="{668AC07D-786F-4D65-8FC9-97859B2BB468}" type="presOf" srcId="{4B57B78A-CFB9-447B-A45E-28F7DF61C641}" destId="{66BE4DB1-3942-4B6B-9D09-5ED7A020269D}" srcOrd="0" destOrd="0" presId="urn:microsoft.com/office/officeart/2005/8/layout/hList1"/>
    <dgm:cxn modelId="{D7BD2886-C5E2-4001-9E34-D99BFEB60252}" type="presOf" srcId="{F285B0E2-D4BD-4F83-8787-D988A23B62CC}" destId="{B210C618-9893-403A-8E72-287F3D8C1832}" srcOrd="0" destOrd="1" presId="urn:microsoft.com/office/officeart/2005/8/layout/hList1"/>
    <dgm:cxn modelId="{D6217FC2-787B-4E52-86D1-F8F338D9D47A}" srcId="{ABA0C694-BD13-4C3C-9B3A-AF746ED3E775}" destId="{4B57B78A-CFB9-447B-A45E-28F7DF61C641}" srcOrd="0" destOrd="0" parTransId="{11F60AD8-EBA8-4096-941E-001E0FCC3C4E}" sibTransId="{011480EC-1F99-4C0D-86E6-A66C4B91E895}"/>
    <dgm:cxn modelId="{57129713-EBA6-4F42-A116-E1BFBE1AAA62}" type="presOf" srcId="{ABA0C694-BD13-4C3C-9B3A-AF746ED3E775}" destId="{8DE47243-EC6E-4ED0-9CC8-A3480639B514}" srcOrd="0" destOrd="0" presId="urn:microsoft.com/office/officeart/2005/8/layout/hList1"/>
    <dgm:cxn modelId="{00DAD646-8972-4FB2-82C9-EA7357A19FED}" srcId="{76D16143-01ED-4B3C-9B4F-F5C5FCE5EAEF}" destId="{DE183F53-9BBF-4863-981C-E3A7C6EF43D2}" srcOrd="1" destOrd="0" parTransId="{A3E6CCA3-A886-434C-9CC3-869D19C2B4B8}" sibTransId="{F47B492C-6CD9-4D0B-9367-DB3721C67782}"/>
    <dgm:cxn modelId="{80509951-98B9-4BE2-B3B6-6AC9CBFC9FF7}" type="presParOf" srcId="{A5712B27-6072-40BB-A171-D001B082C420}" destId="{3713E0E2-2B56-4358-9539-B52AAB0C1A77}" srcOrd="0" destOrd="0" presId="urn:microsoft.com/office/officeart/2005/8/layout/hList1"/>
    <dgm:cxn modelId="{A10D8B6A-82F6-468E-BF2A-6C27EDC1F358}" type="presParOf" srcId="{3713E0E2-2B56-4358-9539-B52AAB0C1A77}" destId="{31EA3786-8623-4EC9-89AE-A1A08E5E8FF3}" srcOrd="0" destOrd="0" presId="urn:microsoft.com/office/officeart/2005/8/layout/hList1"/>
    <dgm:cxn modelId="{89B97C9E-BABC-40B6-B242-B336F09C41F7}" type="presParOf" srcId="{3713E0E2-2B56-4358-9539-B52AAB0C1A77}" destId="{61E1EDB4-F57D-4400-9BC1-6C255B4C80A6}" srcOrd="1" destOrd="0" presId="urn:microsoft.com/office/officeart/2005/8/layout/hList1"/>
    <dgm:cxn modelId="{227E2547-F203-498F-AD73-E10ED9CE8BD8}" type="presParOf" srcId="{A5712B27-6072-40BB-A171-D001B082C420}" destId="{7BBCC804-6494-428B-AAA3-D677D6091760}" srcOrd="1" destOrd="0" presId="urn:microsoft.com/office/officeart/2005/8/layout/hList1"/>
    <dgm:cxn modelId="{95F37F78-29FA-461D-81A6-37E6BA70443C}" type="presParOf" srcId="{A5712B27-6072-40BB-A171-D001B082C420}" destId="{81CD2325-EEFF-4F36-9849-3154A9319B1B}" srcOrd="2" destOrd="0" presId="urn:microsoft.com/office/officeart/2005/8/layout/hList1"/>
    <dgm:cxn modelId="{7F87D666-7B90-4A6C-9869-7FB4D198AC4C}" type="presParOf" srcId="{81CD2325-EEFF-4F36-9849-3154A9319B1B}" destId="{49D02F7B-3E83-42BF-832D-D6C9D2B7227B}" srcOrd="0" destOrd="0" presId="urn:microsoft.com/office/officeart/2005/8/layout/hList1"/>
    <dgm:cxn modelId="{0E6D788C-A929-40BB-8FFB-AC89AE937A50}" type="presParOf" srcId="{81CD2325-EEFF-4F36-9849-3154A9319B1B}" destId="{B210C618-9893-403A-8E72-287F3D8C1832}" srcOrd="1" destOrd="0" presId="urn:microsoft.com/office/officeart/2005/8/layout/hList1"/>
    <dgm:cxn modelId="{7169C781-31E6-4CCF-BBAB-1932D024A13B}" type="presParOf" srcId="{A5712B27-6072-40BB-A171-D001B082C420}" destId="{2C622396-1A2F-49D3-BC61-935D1EA32B61}" srcOrd="3" destOrd="0" presId="urn:microsoft.com/office/officeart/2005/8/layout/hList1"/>
    <dgm:cxn modelId="{7F9E1F49-EC8D-48C9-B816-ACC3A2EFB094}" type="presParOf" srcId="{A5712B27-6072-40BB-A171-D001B082C420}" destId="{20898831-8843-49E1-9153-05CF51607BCC}" srcOrd="4" destOrd="0" presId="urn:microsoft.com/office/officeart/2005/8/layout/hList1"/>
    <dgm:cxn modelId="{DFC05C73-826B-46DB-9BA4-8F7F393F86F7}" type="presParOf" srcId="{20898831-8843-49E1-9153-05CF51607BCC}" destId="{8DE47243-EC6E-4ED0-9CC8-A3480639B514}" srcOrd="0" destOrd="0" presId="urn:microsoft.com/office/officeart/2005/8/layout/hList1"/>
    <dgm:cxn modelId="{F630B626-6859-49EE-8CB7-F2EE0AF33E4D}" type="presParOf" srcId="{20898831-8843-49E1-9153-05CF51607BCC}" destId="{66BE4DB1-3942-4B6B-9D09-5ED7A020269D}" srcOrd="1" destOrd="0" presId="urn:microsoft.com/office/officeart/2005/8/layout/hList1"/>
  </dgm:cxnLst>
  <dgm:bg>
    <a:noFill/>
  </dgm:bg>
  <dgm:whole/>
  <dgm:extLst>
    <a:ext xmlns:a="http://schemas.openxmlformats.org/drawingml/2006/main" uri="http://schemas.microsoft.com/office/drawing/2008/diagram">
      <dsp:dataModelExt xmlns:dsp="http://schemas.microsoft.com/office/drawing/2008/diagram" minVer="http://schemas.openxmlformats.org/drawingml/2006/diagram" relId="rId8"/>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a:xfrm>
        <a:off x="0" y="0"/>
        <a:ext cx="0" cy="0"/>
        <a:chOff x="0" y="0"/>
        <a:chExt cx="0" cy="0"/>
      </a:xfrm>
    </dsp:grpSpPr>
    <dsp:sp modelId="{31EA3786-8623-4EC9-89AE-A1A08E5E8FF3}">
      <dsp:nvSpPr>
        <dsp:cNvPr id="0" name=""/>
        <dsp:cNvSpPr/>
      </dsp:nvSpPr>
      <dsp:spPr>
        <a:xfrm>
          <a:off x="1863" y="10260"/>
          <a:ext cx="1817325" cy="534099"/>
        </a:xfrm>
        <a:prstGeom prst="rect">
          <a:avLst/>
        </a:prstGeom>
        <a:solidFill>
          <a:schemeClr val="accent1">
            <a:lumMod val="75000"/>
          </a:schemeClr>
        </a:solidFill>
        <a:ln w="12700">
          <a:no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PHASE I</a:t>
          </a:r>
        </a:p>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Net Zero Project Plan</a:t>
          </a:r>
        </a:p>
      </dsp:txBody>
      <dsp:txXfrm>
        <a:off x="1863" y="10260"/>
        <a:ext cx="1817325" cy="534099"/>
      </dsp:txXfrm>
    </dsp:sp>
    <dsp:sp modelId="{61E1EDB4-F57D-4400-9BC1-6C255B4C80A6}">
      <dsp:nvSpPr>
        <dsp:cNvPr id="0" name=""/>
        <dsp:cNvSpPr/>
      </dsp:nvSpPr>
      <dsp:spPr>
        <a:xfrm>
          <a:off x="1863" y="544360"/>
          <a:ext cx="1817325" cy="746639"/>
        </a:xfrm>
        <a:prstGeom prst="rect">
          <a:avLst/>
        </a:prstGeom>
        <a:solidFill>
          <a:srgbClr val="6996CD">
            <a:alpha val="30000"/>
          </a:srgbClr>
        </a:solidFill>
        <a:ln w="12700">
          <a:noFill/>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lstStyle/>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Phase I Plan Completed July 1, 2021</a:t>
          </a:r>
        </a:p>
      </dsp:txBody>
      <dsp:txXfrm>
        <a:off x="1863" y="544360"/>
        <a:ext cx="1817325" cy="746639"/>
      </dsp:txXfrm>
    </dsp:sp>
    <dsp:sp modelId="{49D02F7B-3E83-42BF-832D-D6C9D2B7227B}">
      <dsp:nvSpPr>
        <dsp:cNvPr id="0" name=""/>
        <dsp:cNvSpPr/>
      </dsp:nvSpPr>
      <dsp:spPr>
        <a:xfrm>
          <a:off x="2073614" y="10260"/>
          <a:ext cx="1817325" cy="534099"/>
        </a:xfrm>
        <a:prstGeom prst="rect">
          <a:avLst/>
        </a:prstGeom>
        <a:solidFill>
          <a:srgbClr val="A80000"/>
        </a:solidFill>
        <a:ln w="12700">
          <a:no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PHASE II</a:t>
          </a:r>
        </a:p>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Costing and Contractor Procurement</a:t>
          </a:r>
        </a:p>
      </dsp:txBody>
      <dsp:txXfrm>
        <a:off x="2073614" y="10260"/>
        <a:ext cx="1817325" cy="534099"/>
      </dsp:txXfrm>
    </dsp:sp>
    <dsp:sp modelId="{B210C618-9893-403A-8E72-287F3D8C1832}">
      <dsp:nvSpPr>
        <dsp:cNvPr id="0" name=""/>
        <dsp:cNvSpPr/>
      </dsp:nvSpPr>
      <dsp:spPr>
        <a:xfrm>
          <a:off x="2073614" y="544360"/>
          <a:ext cx="1817325" cy="746639"/>
        </a:xfrm>
        <a:prstGeom prst="rect">
          <a:avLst/>
        </a:prstGeom>
        <a:solidFill>
          <a:srgbClr val="A60331">
            <a:alpha val="30000"/>
          </a:srgbClr>
        </a:solidFill>
        <a:ln w="12700">
          <a:noFill/>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lstStyle/>
        <a:p>
          <a:pPr marL="57150" lvl="1" indent="-57150" algn="l" defTabSz="444500">
            <a:lnSpc>
              <a:spcPct val="90000"/>
            </a:lnSpc>
            <a:spcBef>
              <a:spcPct val="0"/>
            </a:spcBef>
            <a:spcAft>
              <a:spcPts val="600"/>
            </a:spcAft>
            <a:buChar char="••"/>
          </a:pPr>
          <a:r>
            <a:rPr lang="en-US" sz="1000" kern="1200">
              <a:latin typeface="Arial" panose="020B0604020202020204" pitchFamily="34" charset="0"/>
              <a:cs typeface="Arial" panose="020B0604020202020204" pitchFamily="34" charset="0"/>
            </a:rPr>
            <a:t>Annual Progress Report Completed July 1, 2022</a:t>
          </a:r>
        </a:p>
        <a:p>
          <a:pPr marL="57150" lvl="1" indent="-57150" algn="l" defTabSz="444500">
            <a:lnSpc>
              <a:spcPct val="90000"/>
            </a:lnSpc>
            <a:spcBef>
              <a:spcPct val="0"/>
            </a:spcBef>
            <a:spcAft>
              <a:spcPts val="600"/>
            </a:spcAft>
            <a:buChar char="••"/>
          </a:pPr>
          <a:r>
            <a:rPr lang="en-US" sz="1000" kern="1200">
              <a:latin typeface="Arial" panose="020B0604020202020204" pitchFamily="34" charset="0"/>
              <a:cs typeface="Arial" panose="020B0604020202020204" pitchFamily="34" charset="0"/>
            </a:rPr>
            <a:t>Certified Total Cost Completed January 1, 2023</a:t>
          </a:r>
        </a:p>
      </dsp:txBody>
      <dsp:txXfrm>
        <a:off x="2073614" y="544360"/>
        <a:ext cx="1817325" cy="746639"/>
      </dsp:txXfrm>
    </dsp:sp>
    <dsp:sp modelId="{8DE47243-EC6E-4ED0-9CC8-A3480639B514}">
      <dsp:nvSpPr>
        <dsp:cNvPr id="0" name=""/>
        <dsp:cNvSpPr/>
      </dsp:nvSpPr>
      <dsp:spPr>
        <a:xfrm>
          <a:off x="4145365" y="10260"/>
          <a:ext cx="1817325" cy="534099"/>
        </a:xfrm>
        <a:prstGeom prst="rect">
          <a:avLst/>
        </a:prstGeom>
        <a:solidFill>
          <a:schemeClr val="tx1">
            <a:lumMod val="50000"/>
            <a:lumOff val="50000"/>
          </a:schemeClr>
        </a:solidFill>
        <a:ln w="12700">
          <a:no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PHASE III</a:t>
          </a:r>
        </a:p>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Construction and Implementation</a:t>
          </a:r>
        </a:p>
      </dsp:txBody>
      <dsp:txXfrm>
        <a:off x="4145365" y="10260"/>
        <a:ext cx="1817325" cy="534099"/>
      </dsp:txXfrm>
    </dsp:sp>
    <dsp:sp modelId="{66BE4DB1-3942-4B6B-9D09-5ED7A020269D}">
      <dsp:nvSpPr>
        <dsp:cNvPr id="0" name=""/>
        <dsp:cNvSpPr/>
      </dsp:nvSpPr>
      <dsp:spPr>
        <a:xfrm>
          <a:off x="4145365" y="544360"/>
          <a:ext cx="1817325" cy="746639"/>
        </a:xfrm>
        <a:prstGeom prst="rect">
          <a:avLst/>
        </a:prstGeom>
        <a:solidFill>
          <a:srgbClr val="8C8C8C">
            <a:alpha val="30000"/>
          </a:srgbClr>
        </a:solidFill>
        <a:ln w="12700">
          <a:noFill/>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lstStyle/>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Progress Reports to be Completed July 1, 2023+</a:t>
          </a:r>
        </a:p>
      </dsp:txBody>
      <dsp:txXfrm>
        <a:off x="4145365" y="544360"/>
        <a:ext cx="1817325" cy="74663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val="norm"/>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D8D5A-5F90-4ABB-ADFF-2F432783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2022-12-26T23:20:15Z</dcterms:created>
  <dcterms:modified xsi:type="dcterms:W3CDTF">2022-12-26T23:20:15Z</dcterms:modified>
</cp:coreProperties>
</file>